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8" w:type="dxa"/>
        <w:tblCellMar>
          <w:left w:w="0" w:type="dxa"/>
          <w:right w:w="0" w:type="dxa"/>
        </w:tblCellMar>
        <w:tblLook w:val="04A0" w:firstRow="1" w:lastRow="0" w:firstColumn="1" w:lastColumn="0" w:noHBand="0" w:noVBand="1"/>
      </w:tblPr>
      <w:tblGrid>
        <w:gridCol w:w="3029"/>
        <w:gridCol w:w="5474"/>
      </w:tblGrid>
      <w:tr w:rsidR="00E203AD" w:rsidRPr="00E203AD" w:rsidTr="00E203AD">
        <w:tc>
          <w:tcPr>
            <w:tcW w:w="3240" w:type="dxa"/>
            <w:tcBorders>
              <w:top w:val="nil"/>
              <w:left w:val="nil"/>
              <w:bottom w:val="nil"/>
              <w:right w:val="nil"/>
            </w:tcBorders>
            <w:tcMar>
              <w:top w:w="0" w:type="dxa"/>
              <w:left w:w="108" w:type="dxa"/>
              <w:bottom w:w="0" w:type="dxa"/>
              <w:right w:w="108" w:type="dxa"/>
            </w:tcMar>
            <w:hideMark/>
          </w:tcPr>
          <w:p w:rsidR="00E203AD" w:rsidRPr="00E203AD" w:rsidRDefault="00E203AD" w:rsidP="00E203AD">
            <w:pPr>
              <w:spacing w:before="100" w:beforeAutospacing="1" w:after="100" w:afterAutospacing="1" w:line="240" w:lineRule="auto"/>
              <w:jc w:val="center"/>
              <w:rPr>
                <w:rFonts w:eastAsia="Times New Roman" w:cs="Times New Roman"/>
                <w:color w:val="222222"/>
                <w:sz w:val="27"/>
                <w:szCs w:val="27"/>
                <w:lang w:eastAsia="vi-VN"/>
              </w:rPr>
            </w:pPr>
            <w:r w:rsidRPr="00E203AD">
              <w:rPr>
                <w:rFonts w:ascii="Arial" w:eastAsia="Times New Roman" w:hAnsi="Arial" w:cs="Arial"/>
                <w:b/>
                <w:bCs/>
                <w:color w:val="222222"/>
                <w:sz w:val="20"/>
                <w:szCs w:val="20"/>
                <w:lang w:eastAsia="vi-VN"/>
              </w:rPr>
              <w:t>QUỐC HỘI</w:t>
            </w:r>
            <w:r w:rsidRPr="00E203AD">
              <w:rPr>
                <w:rFonts w:ascii="Arial" w:eastAsia="Times New Roman" w:hAnsi="Arial" w:cs="Arial"/>
                <w:b/>
                <w:bCs/>
                <w:color w:val="222222"/>
                <w:sz w:val="20"/>
                <w:szCs w:val="20"/>
                <w:lang w:eastAsia="vi-VN"/>
              </w:rPr>
              <w:br/>
              <w:t>-------</w:t>
            </w:r>
          </w:p>
          <w:p w:rsidR="00E203AD" w:rsidRPr="00E203AD" w:rsidRDefault="00E203AD" w:rsidP="00E203AD">
            <w:pPr>
              <w:spacing w:before="100" w:beforeAutospacing="1" w:after="100" w:afterAutospacing="1" w:line="240" w:lineRule="auto"/>
              <w:jc w:val="center"/>
              <w:rPr>
                <w:rFonts w:eastAsia="Times New Roman" w:cs="Times New Roman"/>
                <w:color w:val="222222"/>
                <w:sz w:val="27"/>
                <w:szCs w:val="27"/>
                <w:lang w:eastAsia="vi-VN"/>
              </w:rPr>
            </w:pPr>
            <w:r w:rsidRPr="00E203AD">
              <w:rPr>
                <w:rFonts w:ascii="Arial" w:eastAsia="Times New Roman" w:hAnsi="Arial" w:cs="Arial"/>
                <w:color w:val="222222"/>
                <w:sz w:val="20"/>
                <w:szCs w:val="20"/>
                <w:lang w:eastAsia="vi-VN"/>
              </w:rPr>
              <w:t>Số: 46/2014/QH13</w:t>
            </w:r>
          </w:p>
        </w:tc>
        <w:tc>
          <w:tcPr>
            <w:tcW w:w="6120" w:type="dxa"/>
            <w:tcBorders>
              <w:top w:val="nil"/>
              <w:left w:val="nil"/>
              <w:bottom w:val="nil"/>
              <w:right w:val="nil"/>
            </w:tcBorders>
            <w:tcMar>
              <w:top w:w="0" w:type="dxa"/>
              <w:left w:w="108" w:type="dxa"/>
              <w:bottom w:w="0" w:type="dxa"/>
              <w:right w:w="108" w:type="dxa"/>
            </w:tcMar>
            <w:hideMark/>
          </w:tcPr>
          <w:p w:rsidR="00E203AD" w:rsidRPr="00E203AD" w:rsidRDefault="00E203AD" w:rsidP="00E203AD">
            <w:pPr>
              <w:spacing w:before="100" w:beforeAutospacing="1" w:after="100" w:afterAutospacing="1" w:line="240" w:lineRule="auto"/>
              <w:jc w:val="center"/>
              <w:rPr>
                <w:rFonts w:eastAsia="Times New Roman" w:cs="Times New Roman"/>
                <w:color w:val="222222"/>
                <w:sz w:val="27"/>
                <w:szCs w:val="27"/>
                <w:lang w:eastAsia="vi-VN"/>
              </w:rPr>
            </w:pPr>
            <w:r w:rsidRPr="00E203AD">
              <w:rPr>
                <w:rFonts w:ascii="Arial" w:eastAsia="Times New Roman" w:hAnsi="Arial" w:cs="Arial"/>
                <w:b/>
                <w:bCs/>
                <w:color w:val="222222"/>
                <w:sz w:val="20"/>
                <w:szCs w:val="20"/>
                <w:lang w:eastAsia="vi-VN"/>
              </w:rPr>
              <w:t>CỘNG HÒA XÃ HỘI CHỦ NGHĨA VIỆT NAM</w:t>
            </w:r>
            <w:r w:rsidRPr="00E203AD">
              <w:rPr>
                <w:rFonts w:ascii="Arial" w:eastAsia="Times New Roman" w:hAnsi="Arial" w:cs="Arial"/>
                <w:b/>
                <w:bCs/>
                <w:color w:val="222222"/>
                <w:sz w:val="20"/>
                <w:szCs w:val="20"/>
                <w:lang w:eastAsia="vi-VN"/>
              </w:rPr>
              <w:br/>
              <w:t>Độc lập - Tự do - Hạnh phúc</w:t>
            </w:r>
            <w:r w:rsidRPr="00E203AD">
              <w:rPr>
                <w:rFonts w:ascii="Arial" w:eastAsia="Times New Roman" w:hAnsi="Arial" w:cs="Arial"/>
                <w:b/>
                <w:bCs/>
                <w:color w:val="222222"/>
                <w:sz w:val="20"/>
                <w:szCs w:val="20"/>
                <w:lang w:eastAsia="vi-VN"/>
              </w:rPr>
              <w:br/>
              <w:t>-----------------------------</w:t>
            </w:r>
          </w:p>
          <w:p w:rsidR="00E203AD" w:rsidRPr="00E203AD" w:rsidRDefault="00E203AD" w:rsidP="00E203AD">
            <w:pPr>
              <w:spacing w:before="100" w:beforeAutospacing="1" w:after="100" w:afterAutospacing="1" w:line="240" w:lineRule="auto"/>
              <w:jc w:val="right"/>
              <w:rPr>
                <w:rFonts w:eastAsia="Times New Roman" w:cs="Times New Roman"/>
                <w:color w:val="222222"/>
                <w:sz w:val="27"/>
                <w:szCs w:val="27"/>
                <w:lang w:eastAsia="vi-VN"/>
              </w:rPr>
            </w:pPr>
            <w:r w:rsidRPr="00E203AD">
              <w:rPr>
                <w:rFonts w:ascii="Arial" w:eastAsia="Times New Roman" w:hAnsi="Arial" w:cs="Arial"/>
                <w:i/>
                <w:iCs/>
                <w:color w:val="222222"/>
                <w:sz w:val="20"/>
                <w:szCs w:val="20"/>
                <w:lang w:eastAsia="vi-VN"/>
              </w:rPr>
              <w:t>Hà Nội, ngày 13 tháng 06 năm 2014</w:t>
            </w:r>
          </w:p>
        </w:tc>
      </w:tr>
    </w:tbl>
    <w:p w:rsidR="00E203AD" w:rsidRPr="00E203AD" w:rsidRDefault="00E203AD" w:rsidP="00E203AD">
      <w:pPr>
        <w:spacing w:before="100" w:beforeAutospacing="1" w:after="100" w:afterAutospacing="1" w:line="240" w:lineRule="auto"/>
        <w:jc w:val="center"/>
        <w:rPr>
          <w:rFonts w:ascii="Arial" w:eastAsia="Times New Roman" w:hAnsi="Arial" w:cs="Arial"/>
          <w:color w:val="222222"/>
          <w:sz w:val="27"/>
          <w:szCs w:val="27"/>
          <w:lang w:eastAsia="vi-VN"/>
        </w:rPr>
      </w:pPr>
      <w:r w:rsidRPr="00E203AD">
        <w:rPr>
          <w:rFonts w:ascii="Arial" w:eastAsia="Times New Roman" w:hAnsi="Arial" w:cs="Arial"/>
          <w:b/>
          <w:bCs/>
          <w:color w:val="222222"/>
          <w:sz w:val="20"/>
          <w:szCs w:val="20"/>
          <w:lang w:eastAsia="vi-VN"/>
        </w:rPr>
        <w:t>LUẬT</w:t>
      </w:r>
    </w:p>
    <w:p w:rsidR="00E203AD" w:rsidRPr="00E203AD" w:rsidRDefault="00E203AD" w:rsidP="00E203AD">
      <w:pPr>
        <w:spacing w:before="100" w:beforeAutospacing="1" w:after="100" w:afterAutospacing="1" w:line="240" w:lineRule="auto"/>
        <w:jc w:val="center"/>
        <w:rPr>
          <w:rFonts w:ascii="Arial" w:eastAsia="Times New Roman" w:hAnsi="Arial" w:cs="Arial"/>
          <w:color w:val="222222"/>
          <w:sz w:val="27"/>
          <w:szCs w:val="27"/>
          <w:lang w:eastAsia="vi-VN"/>
        </w:rPr>
      </w:pPr>
      <w:r w:rsidRPr="00E203AD">
        <w:rPr>
          <w:rFonts w:ascii="Arial" w:eastAsia="Times New Roman" w:hAnsi="Arial" w:cs="Arial"/>
          <w:b/>
          <w:bCs/>
          <w:color w:val="222222"/>
          <w:sz w:val="20"/>
          <w:szCs w:val="20"/>
          <w:lang w:eastAsia="vi-VN"/>
        </w:rPr>
        <w:t>SỬA ĐỔI, BỔ SUNG MỘT SỐ ĐIỀU CỦA LUẬT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noProof/>
          <w:color w:val="2E2E2E"/>
          <w:sz w:val="27"/>
          <w:szCs w:val="27"/>
          <w:lang w:eastAsia="vi-VN"/>
        </w:rPr>
        <w:drawing>
          <wp:inline distT="0" distB="0" distL="0" distR="0">
            <wp:extent cx="152400" cy="118745"/>
            <wp:effectExtent l="0" t="0" r="0" b="0"/>
            <wp:docPr id="10" name="Picture 10"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r w:rsidRPr="00E203AD">
        <w:rPr>
          <w:rFonts w:ascii="Arial" w:eastAsia="Times New Roman" w:hAnsi="Arial" w:cs="Arial"/>
          <w:i/>
          <w:iCs/>
          <w:color w:val="2E2E2E"/>
          <w:sz w:val="27"/>
          <w:szCs w:val="27"/>
          <w:lang w:eastAsia="vi-VN"/>
        </w:rPr>
        <w:t>Một số nội dung theo quy định của Luật sửa đổi, bổ sung một số điều của Luật Bảo hiểm y tế của Quốc hội, số 46/2014/QH13 được hướng dẫn bởi Công văn số 4996/BHXH-CSYT.</w:t>
      </w:r>
      <w:r w:rsidRPr="00E203AD">
        <w:rPr>
          <w:rFonts w:ascii="Arial" w:eastAsia="Times New Roman" w:hAnsi="Arial" w:cs="Arial"/>
          <w:i/>
          <w:iCs/>
          <w:color w:val="2E2E2E"/>
          <w:sz w:val="27"/>
          <w:szCs w:val="27"/>
          <w:lang w:eastAsia="vi-VN"/>
        </w:rPr>
        <w:br/>
      </w:r>
      <w:r w:rsidRPr="00E203AD">
        <w:rPr>
          <w:rFonts w:ascii="Arial" w:eastAsia="Times New Roman" w:hAnsi="Arial" w:cs="Arial"/>
          <w:noProof/>
          <w:color w:val="2E2E2E"/>
          <w:sz w:val="27"/>
          <w:szCs w:val="27"/>
          <w:lang w:eastAsia="vi-VN"/>
        </w:rPr>
        <w:drawing>
          <wp:inline distT="0" distB="0" distL="0" distR="0">
            <wp:extent cx="152400" cy="118745"/>
            <wp:effectExtent l="0" t="0" r="0" b="0"/>
            <wp:docPr id="9" name="Picture 9"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noProof/>
          <w:color w:val="2E2E2E"/>
          <w:sz w:val="27"/>
          <w:szCs w:val="27"/>
          <w:lang w:eastAsia="vi-VN"/>
        </w:rPr>
        <w:drawing>
          <wp:inline distT="0" distB="0" distL="0" distR="0">
            <wp:extent cx="152400" cy="118745"/>
            <wp:effectExtent l="0" t="0" r="0" b="0"/>
            <wp:docPr id="8" name="Picture 8"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r w:rsidRPr="00E203AD">
        <w:rPr>
          <w:rFonts w:ascii="Arial" w:eastAsia="Times New Roman" w:hAnsi="Arial" w:cs="Arial"/>
          <w:i/>
          <w:iCs/>
          <w:color w:val="2E2E2E"/>
          <w:sz w:val="27"/>
          <w:szCs w:val="27"/>
          <w:lang w:eastAsia="vi-VN"/>
        </w:rPr>
        <w:t>Một số nội dung về việc thu bảo hiểm y tế tại Luật này được hướng dẫn chi tiết bởi Công văn 777/BHXH-BT của Bảo hiểm xã hội Việt Nam.</w:t>
      </w:r>
      <w:r w:rsidRPr="00E203AD">
        <w:rPr>
          <w:rFonts w:ascii="Arial" w:eastAsia="Times New Roman" w:hAnsi="Arial" w:cs="Arial"/>
          <w:noProof/>
          <w:color w:val="2E2E2E"/>
          <w:sz w:val="27"/>
          <w:szCs w:val="27"/>
          <w:lang w:eastAsia="vi-VN"/>
        </w:rPr>
        <w:drawing>
          <wp:inline distT="0" distB="0" distL="0" distR="0">
            <wp:extent cx="152400" cy="118745"/>
            <wp:effectExtent l="0" t="0" r="0" b="0"/>
            <wp:docPr id="7" name="Picture 7"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noProof/>
          <w:color w:val="2E2E2E"/>
          <w:sz w:val="27"/>
          <w:szCs w:val="27"/>
          <w:lang w:eastAsia="vi-VN"/>
        </w:rPr>
        <w:drawing>
          <wp:inline distT="0" distB="0" distL="0" distR="0">
            <wp:extent cx="152400" cy="118745"/>
            <wp:effectExtent l="0" t="0" r="0" b="0"/>
            <wp:docPr id="6" name="Picture 6"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r w:rsidRPr="00E203AD">
        <w:rPr>
          <w:rFonts w:ascii="Arial" w:eastAsia="Times New Roman" w:hAnsi="Arial" w:cs="Arial"/>
          <w:i/>
          <w:iCs/>
          <w:color w:val="2E2E2E"/>
          <w:sz w:val="27"/>
          <w:szCs w:val="27"/>
          <w:lang w:eastAsia="vi-VN"/>
        </w:rPr>
        <w:t>Bảo hiểm y tế đối với Quân đội nhân dân, Công an nhân dân và người làm công tác cơ yếu tại Luật này được hướng dẫn chi tiết bởi Nghị định 70/2015/NĐ-CP.</w:t>
      </w:r>
      <w:r w:rsidRPr="00E203AD">
        <w:rPr>
          <w:rFonts w:ascii="Arial" w:eastAsia="Times New Roman" w:hAnsi="Arial" w:cs="Arial"/>
          <w:noProof/>
          <w:color w:val="2E2E2E"/>
          <w:sz w:val="27"/>
          <w:szCs w:val="27"/>
          <w:lang w:eastAsia="vi-VN"/>
        </w:rPr>
        <w:drawing>
          <wp:inline distT="0" distB="0" distL="0" distR="0">
            <wp:extent cx="152400" cy="118745"/>
            <wp:effectExtent l="0" t="0" r="0" b="0"/>
            <wp:docPr id="5" name="Picture 5"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noProof/>
          <w:color w:val="2E2E2E"/>
          <w:sz w:val="27"/>
          <w:szCs w:val="27"/>
          <w:lang w:eastAsia="vi-VN"/>
        </w:rPr>
        <w:drawing>
          <wp:inline distT="0" distB="0" distL="0" distR="0">
            <wp:extent cx="152400" cy="118745"/>
            <wp:effectExtent l="0" t="0" r="0" b="0"/>
            <wp:docPr id="4" name="Picture 4"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r w:rsidRPr="00E203AD">
        <w:rPr>
          <w:rFonts w:ascii="Arial" w:eastAsia="Times New Roman" w:hAnsi="Arial" w:cs="Arial"/>
          <w:i/>
          <w:iCs/>
          <w:color w:val="2E2E2E"/>
          <w:sz w:val="27"/>
          <w:szCs w:val="27"/>
          <w:lang w:eastAsia="vi-VN"/>
        </w:rPr>
        <w:t>Bảo hiểm y tế đối với người lao động, học sinh, sinh viên và thân nhân sĩ quan, hạ sĩ quan, chiến sĩ trong Công an nhân dân tại Luật này được hướng dẫn chi tiết bởi Thông tư liên tịch 09/2015/TTLT-BCA-BYT-BTC.</w:t>
      </w:r>
      <w:r w:rsidRPr="00E203AD">
        <w:rPr>
          <w:rFonts w:ascii="Arial" w:eastAsia="Times New Roman" w:hAnsi="Arial" w:cs="Arial"/>
          <w:noProof/>
          <w:color w:val="2E2E2E"/>
          <w:sz w:val="27"/>
          <w:szCs w:val="27"/>
          <w:lang w:eastAsia="vi-VN"/>
        </w:rPr>
        <w:drawing>
          <wp:inline distT="0" distB="0" distL="0" distR="0">
            <wp:extent cx="152400" cy="118745"/>
            <wp:effectExtent l="0" t="0" r="0" b="0"/>
            <wp:docPr id="3" name="Picture 3"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noProof/>
          <w:color w:val="2E2E2E"/>
          <w:sz w:val="27"/>
          <w:szCs w:val="27"/>
          <w:lang w:eastAsia="vi-VN"/>
        </w:rPr>
        <w:drawing>
          <wp:inline distT="0" distB="0" distL="0" distR="0">
            <wp:extent cx="152400" cy="118745"/>
            <wp:effectExtent l="0" t="0" r="0" b="0"/>
            <wp:docPr id="2" name="Picture 2"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r w:rsidRPr="00E203AD">
        <w:rPr>
          <w:rFonts w:ascii="Arial" w:eastAsia="Times New Roman" w:hAnsi="Arial" w:cs="Arial"/>
          <w:i/>
          <w:iCs/>
          <w:color w:val="2E2E2E"/>
          <w:sz w:val="27"/>
          <w:szCs w:val="27"/>
          <w:lang w:eastAsia="vi-VN"/>
        </w:rPr>
        <w:t>Quy định về thực hiện bảo hiểm y tế đối với công chức, viên chức, công nhân Quốc phòng, lao động hợp đồng, học sinh, sinh viên đang công tác, làm việc, học tập trong Bộ Quốc phòng, người làm công tác khác trong tổ chức cơ yếu và thân nhân quân nhân tại ngũ, thân nhân cơ yếu tại Luật này được hướng dẫn bởi Thông tư liên tịch 49/2016/TTLT-BQP-BYT-BTC.</w:t>
      </w:r>
      <w:r w:rsidRPr="00E203AD">
        <w:rPr>
          <w:rFonts w:ascii="Arial" w:eastAsia="Times New Roman" w:hAnsi="Arial" w:cs="Arial"/>
          <w:noProof/>
          <w:color w:val="2E2E2E"/>
          <w:sz w:val="27"/>
          <w:szCs w:val="27"/>
          <w:lang w:eastAsia="vi-VN"/>
        </w:rPr>
        <w:drawing>
          <wp:inline distT="0" distB="0" distL="0" distR="0">
            <wp:extent cx="152400" cy="118745"/>
            <wp:effectExtent l="0" t="0" r="0" b="0"/>
            <wp:docPr id="1" name="Picture 1" descr="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h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p>
    <w:p w:rsidR="00E203AD" w:rsidRPr="00E203AD" w:rsidRDefault="00E203AD" w:rsidP="00E203AD">
      <w:pPr>
        <w:spacing w:before="100" w:beforeAutospacing="1" w:after="120" w:line="240" w:lineRule="auto"/>
        <w:ind w:firstLine="720"/>
        <w:jc w:val="both"/>
        <w:rPr>
          <w:rFonts w:ascii="Arial" w:eastAsia="Times New Roman" w:hAnsi="Arial" w:cs="Arial"/>
          <w:color w:val="222222"/>
          <w:sz w:val="27"/>
          <w:szCs w:val="27"/>
          <w:lang w:eastAsia="vi-VN"/>
        </w:rPr>
      </w:pPr>
      <w:r w:rsidRPr="00E203AD">
        <w:rPr>
          <w:rFonts w:ascii="Arial" w:eastAsia="Times New Roman" w:hAnsi="Arial" w:cs="Arial"/>
          <w:i/>
          <w:iCs/>
          <w:color w:val="222222"/>
          <w:sz w:val="20"/>
          <w:szCs w:val="20"/>
          <w:lang w:eastAsia="vi-VN"/>
        </w:rPr>
        <w:t>Căn cứ Hiến pháp nước Cộng hòa xã hội chủ nghĩa Việt Nam;</w:t>
      </w:r>
    </w:p>
    <w:p w:rsidR="00E203AD" w:rsidRPr="00E203AD" w:rsidRDefault="00E203AD" w:rsidP="00E203AD">
      <w:pPr>
        <w:spacing w:before="100" w:beforeAutospacing="1" w:after="120" w:line="240" w:lineRule="auto"/>
        <w:ind w:firstLine="720"/>
        <w:jc w:val="both"/>
        <w:rPr>
          <w:rFonts w:ascii="Arial" w:eastAsia="Times New Roman" w:hAnsi="Arial" w:cs="Arial"/>
          <w:color w:val="222222"/>
          <w:sz w:val="27"/>
          <w:szCs w:val="27"/>
          <w:lang w:eastAsia="vi-VN"/>
        </w:rPr>
      </w:pPr>
      <w:r w:rsidRPr="00E203AD">
        <w:rPr>
          <w:rFonts w:ascii="Arial" w:eastAsia="Times New Roman" w:hAnsi="Arial" w:cs="Arial"/>
          <w:i/>
          <w:iCs/>
          <w:color w:val="222222"/>
          <w:sz w:val="20"/>
          <w:szCs w:val="20"/>
          <w:lang w:eastAsia="vi-VN"/>
        </w:rPr>
        <w:t>Quốc hội ban hành Luật sửa đổi, bổ sung một số điều của Luật bảo hiểm y tế số 25/2008/QH12.</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b/>
          <w:bCs/>
          <w:color w:val="2E2E2E"/>
          <w:sz w:val="27"/>
          <w:szCs w:val="27"/>
          <w:lang w:eastAsia="vi-VN"/>
        </w:rPr>
        <w:t>Điều 1.</w:t>
      </w:r>
      <w:r w:rsidRPr="00E203AD">
        <w:rPr>
          <w:rFonts w:ascii="Arial" w:eastAsia="Times New Roman" w:hAnsi="Arial" w:cs="Arial"/>
          <w:color w:val="2E2E2E"/>
          <w:sz w:val="27"/>
          <w:szCs w:val="27"/>
          <w:lang w:eastAsia="vi-VN"/>
        </w:rPr>
        <w:br/>
        <w:t>Sửa đổi, bổ sung một số điều của Luật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 Sửa đổi, bổ sung </w:t>
      </w:r>
      <w:hyperlink r:id="rId6" w:history="1">
        <w:r w:rsidRPr="00E203AD">
          <w:rPr>
            <w:rFonts w:ascii="Arial" w:eastAsia="Times New Roman" w:hAnsi="Arial" w:cs="Arial"/>
            <w:color w:val="0000FF"/>
            <w:sz w:val="27"/>
            <w:szCs w:val="27"/>
            <w:u w:val="single"/>
            <w:lang w:eastAsia="vi-VN"/>
          </w:rPr>
          <w:t>Khoản 1</w:t>
        </w:r>
      </w:hyperlink>
      <w:r w:rsidRPr="00E203AD">
        <w:rPr>
          <w:rFonts w:ascii="Arial" w:eastAsia="Times New Roman" w:hAnsi="Arial" w:cs="Arial"/>
          <w:color w:val="2E2E2E"/>
          <w:sz w:val="27"/>
          <w:szCs w:val="27"/>
          <w:lang w:eastAsia="vi-VN"/>
        </w:rPr>
        <w:t>; bổ sung khoản 7 và khoản 8 </w:t>
      </w:r>
      <w:hyperlink r:id="rId7" w:history="1">
        <w:r w:rsidRPr="00E203AD">
          <w:rPr>
            <w:rFonts w:ascii="Arial" w:eastAsia="Times New Roman" w:hAnsi="Arial" w:cs="Arial"/>
            <w:color w:val="0000FF"/>
            <w:sz w:val="27"/>
            <w:szCs w:val="27"/>
            <w:u w:val="single"/>
            <w:lang w:eastAsia="vi-VN"/>
          </w:rPr>
          <w:t>Điều 2</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 Bảo hiểm y tế là hình thức bảo hiểm bắt buộc được áp dụng đối với các đối tượng theo quy định của Luật này để chăm sóc sức khỏe, không vì mục đích lợi nhuận do Nhà nước tổ chức thực hiện.”</w:t>
      </w:r>
    </w:p>
    <w:p w:rsidR="00E203AD" w:rsidRPr="00E203AD" w:rsidRDefault="00E203AD" w:rsidP="00E203AD">
      <w:pPr>
        <w:shd w:val="clear" w:color="auto" w:fill="FFF88F"/>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7. Hộ gia đình tham gia bảo hiểm y tế (sau đây gọi chung là hộ gia đình) bao gồm toàn bộ người có tên trong sổ hộ khẩu hoặc sổ tạm trú.</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lastRenderedPageBreak/>
        <w:t>8. Gói dịch vụ y tế cơ bản do quỹ bảo hiểm y tế chi trả là những dịch vụ y tế thiết yếu để chăm sóc sức khỏe, phù hợp với khả năng chi trả của quỹ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 Sửa đổi, bổ sung </w:t>
      </w:r>
      <w:hyperlink r:id="rId8" w:history="1">
        <w:r w:rsidRPr="00E203AD">
          <w:rPr>
            <w:rFonts w:ascii="Arial" w:eastAsia="Times New Roman" w:hAnsi="Arial" w:cs="Arial"/>
            <w:color w:val="0000FF"/>
            <w:sz w:val="27"/>
            <w:szCs w:val="27"/>
            <w:u w:val="single"/>
            <w:lang w:eastAsia="vi-VN"/>
          </w:rPr>
          <w:t>Khoản 2</w:t>
        </w:r>
      </w:hyperlink>
      <w:r w:rsidRPr="00E203AD">
        <w:rPr>
          <w:rFonts w:ascii="Arial" w:eastAsia="Times New Roman" w:hAnsi="Arial" w:cs="Arial"/>
          <w:color w:val="2E2E2E"/>
          <w:sz w:val="27"/>
          <w:szCs w:val="27"/>
          <w:lang w:eastAsia="vi-VN"/>
        </w:rPr>
        <w:t> và </w:t>
      </w:r>
      <w:hyperlink r:id="rId9" w:history="1">
        <w:r w:rsidRPr="00E203AD">
          <w:rPr>
            <w:rFonts w:ascii="Arial" w:eastAsia="Times New Roman" w:hAnsi="Arial" w:cs="Arial"/>
            <w:color w:val="0000FF"/>
            <w:sz w:val="27"/>
            <w:szCs w:val="27"/>
            <w:u w:val="single"/>
            <w:lang w:eastAsia="vi-VN"/>
          </w:rPr>
          <w:t>Khoản 3 Điều 3</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 Mức đóng bảo hiểm y tế được xác định theo tỷ lệ phần trăm của tiền lương làm căn cứ đóng bảo hiểm xã hội bắt buộc theo quy định của Luật bảo hiểm xã hội (sau đây gọi chung là tiền lương tháng), tiền lương hưu, tiền trợ cấp hoặc mức lương cơ sở.</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3. Mức hưởng bảo hiểm y tế theo mức độ bệnh tật, nhóm đối tượng trong phạm vi quyền lợi và thời gian tham gia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3. Sửa đổi, bổ sung </w:t>
      </w:r>
      <w:hyperlink r:id="rId10" w:history="1">
        <w:r w:rsidRPr="00E203AD">
          <w:rPr>
            <w:rFonts w:ascii="Arial" w:eastAsia="Times New Roman" w:hAnsi="Arial" w:cs="Arial"/>
            <w:color w:val="0000FF"/>
            <w:sz w:val="27"/>
            <w:szCs w:val="27"/>
            <w:u w:val="single"/>
            <w:lang w:eastAsia="vi-VN"/>
          </w:rPr>
          <w:t>Khoản 3</w:t>
        </w:r>
      </w:hyperlink>
      <w:r w:rsidRPr="00E203AD">
        <w:rPr>
          <w:rFonts w:ascii="Arial" w:eastAsia="Times New Roman" w:hAnsi="Arial" w:cs="Arial"/>
          <w:color w:val="2E2E2E"/>
          <w:sz w:val="27"/>
          <w:szCs w:val="27"/>
          <w:lang w:eastAsia="vi-VN"/>
        </w:rPr>
        <w:t>; bổ sung khoản 10 </w:t>
      </w:r>
      <w:hyperlink r:id="rId11" w:history="1">
        <w:r w:rsidRPr="00E203AD">
          <w:rPr>
            <w:rFonts w:ascii="Arial" w:eastAsia="Times New Roman" w:hAnsi="Arial" w:cs="Arial"/>
            <w:color w:val="0000FF"/>
            <w:sz w:val="27"/>
            <w:szCs w:val="27"/>
            <w:u w:val="single"/>
            <w:lang w:eastAsia="vi-VN"/>
          </w:rPr>
          <w:t>Điều 6</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“3. Ban hành quy định chuyên môn kỹ thuật, quy trình khám bệnh, chữa bệnh và hướng dẫn điều trị; chuyển tuyến liên quan đến khám bệnh, chữa bệnh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“10. Ban hành gói dịch vụ y tế cơ bản do quỹ bảo hiểm y tế chi trả.” </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4. Bổ sung các điều 7a, 7b và 7c vào sau </w:t>
      </w:r>
      <w:hyperlink r:id="rId12" w:history="1">
        <w:r w:rsidRPr="00E203AD">
          <w:rPr>
            <w:rFonts w:ascii="Arial" w:eastAsia="Times New Roman" w:hAnsi="Arial" w:cs="Arial"/>
            <w:color w:val="0000FF"/>
            <w:sz w:val="27"/>
            <w:szCs w:val="27"/>
            <w:u w:val="single"/>
            <w:lang w:eastAsia="vi-VN"/>
          </w:rPr>
          <w:t>Điều 7 </w:t>
        </w:r>
      </w:hyperlink>
      <w:r w:rsidRPr="00E203AD">
        <w:rPr>
          <w:rFonts w:ascii="Arial" w:eastAsia="Times New Roman" w:hAnsi="Arial" w:cs="Arial"/>
          <w:color w:val="2E2E2E"/>
          <w:sz w:val="27"/>
          <w:szCs w:val="27"/>
          <w:lang w:eastAsia="vi-VN"/>
        </w:rPr>
        <w:t>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Điều 7a. Trách nhiệm của Bộ Lao động - Thương binh và Xã hội</w:t>
      </w:r>
      <w:r w:rsidRPr="00E203AD">
        <w:rPr>
          <w:rFonts w:ascii="Arial" w:eastAsia="Times New Roman" w:hAnsi="Arial" w:cs="Arial"/>
          <w:color w:val="2E2E2E"/>
          <w:sz w:val="27"/>
          <w:szCs w:val="27"/>
          <w:lang w:eastAsia="vi-VN"/>
        </w:rPr>
        <w:br/>
        <w:t>1. Chỉ đạo, hướng dẫn tổ chức thực hiện việc xác định, quản lý đối tượng do Bộ Lao động - Thương binh và Xã hội quản lý quy định tại các điểm d, e, g, h, i và k khoản 3 và khoản 4 Điều 12 của Luật này.</w:t>
      </w:r>
      <w:r w:rsidRPr="00E203AD">
        <w:rPr>
          <w:rFonts w:ascii="Arial" w:eastAsia="Times New Roman" w:hAnsi="Arial" w:cs="Arial"/>
          <w:color w:val="2E2E2E"/>
          <w:sz w:val="27"/>
          <w:szCs w:val="27"/>
          <w:lang w:eastAsia="vi-VN"/>
        </w:rPr>
        <w:br/>
        <w:t>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tại các điểm d, e, g, h, i và k khoản 3 và khoản 4 Điều 12 của Luật này.</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Điều 7b. Trách nhiệm của Bộ Giáo dục và Đào tạo</w:t>
      </w:r>
      <w:r w:rsidRPr="00E203AD">
        <w:rPr>
          <w:rFonts w:ascii="Arial" w:eastAsia="Times New Roman" w:hAnsi="Arial" w:cs="Arial"/>
          <w:color w:val="2E2E2E"/>
          <w:sz w:val="27"/>
          <w:szCs w:val="27"/>
          <w:lang w:eastAsia="vi-VN"/>
        </w:rPr>
        <w:br/>
        <w:t>1. Chỉ đạo, hướng dẫn tổ chức thực hiện việc xác định, quản lý đối tượng do Bộ Giáo dục và Đào tạo quản lý quy định tại điểm n khoản 3 và điểm b khoản 4 Điều 12 của Luật này.</w:t>
      </w:r>
      <w:r w:rsidRPr="00E203AD">
        <w:rPr>
          <w:rFonts w:ascii="Arial" w:eastAsia="Times New Roman" w:hAnsi="Arial" w:cs="Arial"/>
          <w:color w:val="2E2E2E"/>
          <w:sz w:val="27"/>
          <w:szCs w:val="27"/>
          <w:lang w:eastAsia="vi-VN"/>
        </w:rPr>
        <w:br/>
        <w:t>2. Thanh tra, kiểm tra việc thực hiện quy định của pháp luật về trách nhiệm tham gia bảo hiểm y tế của các đối tượng do Bộ Giáo dục và Đào tạo quản lý quy định tại điểm n khoản 3 và điểm b khoản 4 Điều 12 của Luật này.</w:t>
      </w:r>
      <w:r w:rsidRPr="00E203AD">
        <w:rPr>
          <w:rFonts w:ascii="Arial" w:eastAsia="Times New Roman" w:hAnsi="Arial" w:cs="Arial"/>
          <w:color w:val="2E2E2E"/>
          <w:sz w:val="27"/>
          <w:szCs w:val="27"/>
          <w:lang w:eastAsia="vi-VN"/>
        </w:rPr>
        <w:br/>
        <w:t>3. Chủ trì, phối hợp với Bộ Y tế, các bộ, ngành liên quan hướng dẫn thành lập, kiện toàn hệ thống y tế trường học để chăm sóc sức khỏe ban đầu đối với trẻ em, học sinh, sinh viên.</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Điều 7c. Trách nhiệm của Bộ Quốc phòng và Bộ Công an</w:t>
      </w:r>
      <w:r w:rsidRPr="00E203AD">
        <w:rPr>
          <w:rFonts w:ascii="Arial" w:eastAsia="Times New Roman" w:hAnsi="Arial" w:cs="Arial"/>
          <w:color w:val="2E2E2E"/>
          <w:sz w:val="27"/>
          <w:szCs w:val="27"/>
          <w:lang w:eastAsia="vi-VN"/>
        </w:rPr>
        <w:br/>
        <w:t>1. Chỉ đạo, quản lý, hướng dẫn, tổ chức thực hiện việc xác định, quản lý, lập danh sách bảo hiểm y tế đối với đối tượng do Bộ Quốc phòng và Bộ Công an quản lý quy định tại điểm a khoản 1, điểm a và điểm n khoản 3, điểm b khoản 4 Điều 12 của Luật này.</w:t>
      </w:r>
      <w:r w:rsidRPr="00E203AD">
        <w:rPr>
          <w:rFonts w:ascii="Arial" w:eastAsia="Times New Roman" w:hAnsi="Arial" w:cs="Arial"/>
          <w:color w:val="2E2E2E"/>
          <w:sz w:val="27"/>
          <w:szCs w:val="27"/>
          <w:lang w:eastAsia="vi-VN"/>
        </w:rPr>
        <w:br/>
      </w:r>
      <w:r w:rsidRPr="00E203AD">
        <w:rPr>
          <w:rFonts w:ascii="Arial" w:eastAsia="Times New Roman" w:hAnsi="Arial" w:cs="Arial"/>
          <w:color w:val="2E2E2E"/>
          <w:sz w:val="27"/>
          <w:szCs w:val="27"/>
          <w:lang w:eastAsia="vi-VN"/>
        </w:rPr>
        <w:lastRenderedPageBreak/>
        <w:t>2. Lập danh sách và cung cấp danh sách đề nghị cấp thẻ bảo hiểm y tế đối với đối tượng quy định tại điểm 1 khoản 3 Điều 12 của Luật này cho tổ chức bảo hiểm y tế.</w:t>
      </w:r>
      <w:r w:rsidRPr="00E203AD">
        <w:rPr>
          <w:rFonts w:ascii="Arial" w:eastAsia="Times New Roman" w:hAnsi="Arial" w:cs="Arial"/>
          <w:color w:val="2E2E2E"/>
          <w:sz w:val="27"/>
          <w:szCs w:val="27"/>
          <w:lang w:eastAsia="vi-VN"/>
        </w:rPr>
        <w:br/>
        <w:t>3. Thanh tra, kiểm tra việc thực hiện quy định của pháp luật về trách nhiệm tham gia bảo hiểm y tế của các đối tượng do Bộ Quốc phòng và Bộ Công an quản lý quy định tại điểm a khoản 1, điểm a và điểm n khoản 3, điểm b khoản 4 Điều 12 của Luật này.</w:t>
      </w:r>
      <w:r w:rsidRPr="00E203AD">
        <w:rPr>
          <w:rFonts w:ascii="Arial" w:eastAsia="Times New Roman" w:hAnsi="Arial" w:cs="Arial"/>
          <w:color w:val="2E2E2E"/>
          <w:sz w:val="27"/>
          <w:szCs w:val="27"/>
          <w:lang w:eastAsia="vi-VN"/>
        </w:rPr>
        <w:br/>
        <w:t>4. Phối hợp với Bộ Y tế, các bộ, ngành liên quan hướng dẫn các cơ sở khám bệnh, chữa bệnh của Bộ Quốc phòng và Bộ Công an ký kết hợp đồng khám bệnh, chữa bệnh bảo hiểm y tế với tổ chức bảo hiểm y tế để khám bệnh, chữa bệnh cho các đối tượng tham gia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5. Sửa đổi, bổ sung </w:t>
      </w:r>
      <w:hyperlink r:id="rId13" w:history="1">
        <w:r w:rsidRPr="00E203AD">
          <w:rPr>
            <w:rFonts w:ascii="Arial" w:eastAsia="Times New Roman" w:hAnsi="Arial" w:cs="Arial"/>
            <w:color w:val="0000FF"/>
            <w:sz w:val="27"/>
            <w:szCs w:val="27"/>
            <w:u w:val="single"/>
            <w:lang w:eastAsia="vi-VN"/>
          </w:rPr>
          <w:t>khoản 2</w:t>
        </w:r>
      </w:hyperlink>
      <w:r w:rsidRPr="00E203AD">
        <w:rPr>
          <w:rFonts w:ascii="Arial" w:eastAsia="Times New Roman" w:hAnsi="Arial" w:cs="Arial"/>
          <w:color w:val="2E2E2E"/>
          <w:sz w:val="27"/>
          <w:szCs w:val="27"/>
          <w:lang w:eastAsia="vi-VN"/>
        </w:rPr>
        <w:t>; bổ sung khoản 3 </w:t>
      </w:r>
      <w:hyperlink r:id="rId14" w:history="1">
        <w:r w:rsidRPr="00E203AD">
          <w:rPr>
            <w:rFonts w:ascii="Arial" w:eastAsia="Times New Roman" w:hAnsi="Arial" w:cs="Arial"/>
            <w:color w:val="0000FF"/>
            <w:sz w:val="27"/>
            <w:szCs w:val="27"/>
            <w:u w:val="single"/>
            <w:lang w:eastAsia="vi-VN"/>
          </w:rPr>
          <w:t>Điều 8</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 Ủy ban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 và quản lý, sử dụng nguồn kinh phí theo quy định tại khoản 3 Điều 35 của Luật này.</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3. Ủy ban nhân dân xã, phường, thị trấn (sau đây gọi chung là Ủy ban nhân dân cấp xã), ngoài việc thực hiện trách nhiệm quy định tại khoản 1 Điều này, có trách nhiệm lập danh sách tham gia bảo hiểm y tế trên địa bàn cho các đối tượng quy định tại các khoản 2, 3, 4 và 5 Điều 12 của Luật này theo hộ gia đình, trừ đối tượng quy định tại các điểm a, 1 và n khoản 3 và điểm b khoản 4 Điều 12 của Luật này; Ủy ban nhân dân cấp xã phải lập danh sách đề nghị cấp thẻ bảo hiểm y tế cho trẻ em đồng thời với việc cấp giấy khai sinh.”</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6. Sửa đổi, bổ sung </w:t>
      </w:r>
      <w:hyperlink r:id="rId15" w:history="1">
        <w:r w:rsidRPr="00E203AD">
          <w:rPr>
            <w:rFonts w:ascii="Arial" w:eastAsia="Times New Roman" w:hAnsi="Arial" w:cs="Arial"/>
            <w:color w:val="0000FF"/>
            <w:sz w:val="27"/>
            <w:szCs w:val="27"/>
            <w:u w:val="single"/>
            <w:lang w:eastAsia="vi-VN"/>
          </w:rPr>
          <w:t>Điều 12 </w:t>
        </w:r>
      </w:hyperlink>
      <w:r w:rsidRPr="00E203AD">
        <w:rPr>
          <w:rFonts w:ascii="Arial" w:eastAsia="Times New Roman" w:hAnsi="Arial" w:cs="Arial"/>
          <w:color w:val="2E2E2E"/>
          <w:sz w:val="27"/>
          <w:szCs w:val="27"/>
          <w:lang w:eastAsia="vi-VN"/>
        </w:rPr>
        <w:t>như sau:</w:t>
      </w:r>
      <w:r w:rsidRPr="00E203AD">
        <w:rPr>
          <w:rFonts w:ascii="Arial" w:eastAsia="Times New Roman" w:hAnsi="Arial" w:cs="Arial"/>
          <w:color w:val="2E2E2E"/>
          <w:sz w:val="27"/>
          <w:szCs w:val="27"/>
          <w:lang w:eastAsia="vi-VN"/>
        </w:rPr>
        <w:br/>
        <w:t>“Điều 12. Đối tượng tham gia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 Nhóm do người lao động và người sử dụng lao động đóng, bao gồm:</w:t>
      </w:r>
      <w:r w:rsidRPr="00E203AD">
        <w:rPr>
          <w:rFonts w:ascii="Arial" w:eastAsia="Times New Roman" w:hAnsi="Arial" w:cs="Arial"/>
          <w:color w:val="2E2E2E"/>
          <w:sz w:val="27"/>
          <w:szCs w:val="27"/>
          <w:lang w:eastAsia="vi-VN"/>
        </w:rPr>
        <w:br/>
        <w:t>a) Người lao động làm việc theo hợp đồng lao động không xác định thời hạn, hợp đồng lao động có thời hạn từ đủ 3 tháng trở lên; người lao động là người quản lý doanh nghiệp hưởng tiền lương; cán bộ, công chức, viên chức (sau đây gọi chung là người lao động);</w:t>
      </w:r>
      <w:r w:rsidRPr="00E203AD">
        <w:rPr>
          <w:rFonts w:ascii="Arial" w:eastAsia="Times New Roman" w:hAnsi="Arial" w:cs="Arial"/>
          <w:color w:val="2E2E2E"/>
          <w:sz w:val="27"/>
          <w:szCs w:val="27"/>
          <w:lang w:eastAsia="vi-VN"/>
        </w:rPr>
        <w:br/>
        <w:t>b) Người hoạt động không chuyên trách ở xã, phường, thị trấn theo quy định của pháp luật.</w:t>
      </w:r>
      <w:r w:rsidRPr="00E203AD">
        <w:rPr>
          <w:rFonts w:ascii="Arial" w:eastAsia="Times New Roman" w:hAnsi="Arial" w:cs="Arial"/>
          <w:color w:val="2E2E2E"/>
          <w:sz w:val="27"/>
          <w:szCs w:val="27"/>
          <w:lang w:eastAsia="vi-VN"/>
        </w:rPr>
        <w:br/>
        <w:t>2. Nhóm do tổ chức bảo hiểm xã hội đóng, bao gồm:</w:t>
      </w:r>
      <w:r w:rsidRPr="00E203AD">
        <w:rPr>
          <w:rFonts w:ascii="Arial" w:eastAsia="Times New Roman" w:hAnsi="Arial" w:cs="Arial"/>
          <w:color w:val="2E2E2E"/>
          <w:sz w:val="27"/>
          <w:szCs w:val="27"/>
          <w:lang w:eastAsia="vi-VN"/>
        </w:rPr>
        <w:br/>
        <w:t>a) Người hưởng lương hưu, trợ cấp mất sức lao động hằng tháng;</w:t>
      </w:r>
      <w:r w:rsidRPr="00E203AD">
        <w:rPr>
          <w:rFonts w:ascii="Arial" w:eastAsia="Times New Roman" w:hAnsi="Arial" w:cs="Arial"/>
          <w:color w:val="2E2E2E"/>
          <w:sz w:val="27"/>
          <w:szCs w:val="27"/>
          <w:lang w:eastAsia="vi-VN"/>
        </w:rPr>
        <w:br/>
        <w:t>b) Người đang hưởng trợ cấp bảo hiểm xã hội hằng tháng do bị tai nạn lao động, bệnh nghề nghiệp hoặc mắc bệnh thuộc danh mục bệnh cần chữa trị dài ngày; người từ đủ 80 tuổi trở lên đang hưởng trợ cấp tuất hằng tháng;</w:t>
      </w:r>
      <w:r w:rsidRPr="00E203AD">
        <w:rPr>
          <w:rFonts w:ascii="Arial" w:eastAsia="Times New Roman" w:hAnsi="Arial" w:cs="Arial"/>
          <w:color w:val="2E2E2E"/>
          <w:sz w:val="27"/>
          <w:szCs w:val="27"/>
          <w:lang w:eastAsia="vi-VN"/>
        </w:rPr>
        <w:br/>
        <w:t>c) Cán bộ xã, phường, thị trấn đã nghỉ việc đang hưởng trợ cấp bảo hiểm xã hội hằng tháng;</w:t>
      </w:r>
      <w:r w:rsidRPr="00E203AD">
        <w:rPr>
          <w:rFonts w:ascii="Arial" w:eastAsia="Times New Roman" w:hAnsi="Arial" w:cs="Arial"/>
          <w:color w:val="2E2E2E"/>
          <w:sz w:val="27"/>
          <w:szCs w:val="27"/>
          <w:lang w:eastAsia="vi-VN"/>
        </w:rPr>
        <w:br/>
      </w:r>
      <w:r w:rsidRPr="00E203AD">
        <w:rPr>
          <w:rFonts w:ascii="Arial" w:eastAsia="Times New Roman" w:hAnsi="Arial" w:cs="Arial"/>
          <w:color w:val="2E2E2E"/>
          <w:sz w:val="27"/>
          <w:szCs w:val="27"/>
          <w:lang w:eastAsia="vi-VN"/>
        </w:rPr>
        <w:lastRenderedPageBreak/>
        <w:t>d) Người đang hưởng trợ cấp thất nghiệp.</w:t>
      </w:r>
      <w:r w:rsidRPr="00E203AD">
        <w:rPr>
          <w:rFonts w:ascii="Arial" w:eastAsia="Times New Roman" w:hAnsi="Arial" w:cs="Arial"/>
          <w:color w:val="2E2E2E"/>
          <w:sz w:val="27"/>
          <w:szCs w:val="27"/>
          <w:lang w:eastAsia="vi-VN"/>
        </w:rPr>
        <w:br/>
        <w:t>3. Nhóm do ngân sách nhà nước đóng, bao gồm:</w:t>
      </w:r>
      <w:r w:rsidRPr="00E203AD">
        <w:rPr>
          <w:rFonts w:ascii="Arial" w:eastAsia="Times New Roman" w:hAnsi="Arial" w:cs="Arial"/>
          <w:color w:val="2E2E2E"/>
          <w:sz w:val="27"/>
          <w:szCs w:val="27"/>
          <w:lang w:eastAsia="vi-VN"/>
        </w:rPr>
        <w:b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r w:rsidRPr="00E203AD">
        <w:rPr>
          <w:rFonts w:ascii="Arial" w:eastAsia="Times New Roman" w:hAnsi="Arial" w:cs="Arial"/>
          <w:color w:val="2E2E2E"/>
          <w:sz w:val="27"/>
          <w:szCs w:val="27"/>
          <w:lang w:eastAsia="vi-VN"/>
        </w:rPr>
        <w:br/>
        <w:t>b) Cán bộ xã, phường, thị trấn đã nghỉ việc đang hưởng trợ cấp hằng tháng từ ngân sách nhà nước;</w:t>
      </w:r>
      <w:r w:rsidRPr="00E203AD">
        <w:rPr>
          <w:rFonts w:ascii="Arial" w:eastAsia="Times New Roman" w:hAnsi="Arial" w:cs="Arial"/>
          <w:color w:val="2E2E2E"/>
          <w:sz w:val="27"/>
          <w:szCs w:val="27"/>
          <w:lang w:eastAsia="vi-VN"/>
        </w:rPr>
        <w:br/>
        <w:t>c) Người đã thôi hưởng trợ cấp mất sức lao động đang hưởng trợ cấp hằng tháng từ ngân sách nhà nước;</w:t>
      </w:r>
      <w:r w:rsidRPr="00E203AD">
        <w:rPr>
          <w:rFonts w:ascii="Arial" w:eastAsia="Times New Roman" w:hAnsi="Arial" w:cs="Arial"/>
          <w:color w:val="2E2E2E"/>
          <w:sz w:val="27"/>
          <w:szCs w:val="27"/>
          <w:lang w:eastAsia="vi-VN"/>
        </w:rPr>
        <w:br/>
        <w:t>d) Người có công với cách mạng, cựu chiến binh;</w:t>
      </w:r>
      <w:r w:rsidRPr="00E203AD">
        <w:rPr>
          <w:rFonts w:ascii="Arial" w:eastAsia="Times New Roman" w:hAnsi="Arial" w:cs="Arial"/>
          <w:color w:val="2E2E2E"/>
          <w:sz w:val="27"/>
          <w:szCs w:val="27"/>
          <w:lang w:eastAsia="vi-VN"/>
        </w:rPr>
        <w:br/>
        <w:t>đ) Đại biểu Quốc hội, đại biểu Hội đồng nhân dân các cấp đương nhiệm;</w:t>
      </w:r>
      <w:r w:rsidRPr="00E203AD">
        <w:rPr>
          <w:rFonts w:ascii="Arial" w:eastAsia="Times New Roman" w:hAnsi="Arial" w:cs="Arial"/>
          <w:color w:val="2E2E2E"/>
          <w:sz w:val="27"/>
          <w:szCs w:val="27"/>
          <w:lang w:eastAsia="vi-VN"/>
        </w:rPr>
        <w:br/>
        <w:t>e) Trẻ em dưới 6 tuổi;</w:t>
      </w:r>
      <w:r w:rsidRPr="00E203AD">
        <w:rPr>
          <w:rFonts w:ascii="Arial" w:eastAsia="Times New Roman" w:hAnsi="Arial" w:cs="Arial"/>
          <w:color w:val="2E2E2E"/>
          <w:sz w:val="27"/>
          <w:szCs w:val="27"/>
          <w:lang w:eastAsia="vi-VN"/>
        </w:rPr>
        <w:br/>
        <w:t>g) Người thuộc diện hưởng trợ cấp bảo trợ xã hội hằng tháng;</w:t>
      </w:r>
      <w:r w:rsidRPr="00E203AD">
        <w:rPr>
          <w:rFonts w:ascii="Arial" w:eastAsia="Times New Roman" w:hAnsi="Arial" w:cs="Arial"/>
          <w:color w:val="2E2E2E"/>
          <w:sz w:val="27"/>
          <w:szCs w:val="27"/>
          <w:lang w:eastAsia="vi-VN"/>
        </w:rPr>
        <w:br/>
        <w:t>h)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r w:rsidRPr="00E203AD">
        <w:rPr>
          <w:rFonts w:ascii="Arial" w:eastAsia="Times New Roman" w:hAnsi="Arial" w:cs="Arial"/>
          <w:color w:val="2E2E2E"/>
          <w:sz w:val="27"/>
          <w:szCs w:val="27"/>
          <w:lang w:eastAsia="vi-VN"/>
        </w:rPr>
        <w:br/>
        <w:t>i) Thân nhân của người có công với cách mạng là cha đẻ, mẹ đẻ, vợ hoặc chồng, con của liệt sỹ; người có công nuôi dưỡng liệt sỹ;</w:t>
      </w:r>
      <w:r w:rsidRPr="00E203AD">
        <w:rPr>
          <w:rFonts w:ascii="Arial" w:eastAsia="Times New Roman" w:hAnsi="Arial" w:cs="Arial"/>
          <w:color w:val="2E2E2E"/>
          <w:sz w:val="27"/>
          <w:szCs w:val="27"/>
          <w:lang w:eastAsia="vi-VN"/>
        </w:rPr>
        <w:br/>
        <w:t>k) Thân nhân của người có công với cách mạng, trừ các đối tượng quy định tại điểm i khoản này;</w:t>
      </w:r>
      <w:r w:rsidRPr="00E203AD">
        <w:rPr>
          <w:rFonts w:ascii="Arial" w:eastAsia="Times New Roman" w:hAnsi="Arial" w:cs="Arial"/>
          <w:color w:val="2E2E2E"/>
          <w:sz w:val="27"/>
          <w:szCs w:val="27"/>
          <w:lang w:eastAsia="vi-VN"/>
        </w:rPr>
        <w:br/>
        <w:t>l) Thân nhân của các đối tượng quy định tại điểm a khoản 3 Điều này;</w:t>
      </w:r>
      <w:r w:rsidRPr="00E203AD">
        <w:rPr>
          <w:rFonts w:ascii="Arial" w:eastAsia="Times New Roman" w:hAnsi="Arial" w:cs="Arial"/>
          <w:color w:val="2E2E2E"/>
          <w:sz w:val="27"/>
          <w:szCs w:val="27"/>
          <w:lang w:eastAsia="vi-VN"/>
        </w:rPr>
        <w:br/>
        <w:t>m) Người đã hiến bộ phận cơ thể người theo quy định của pháp luật;</w:t>
      </w:r>
      <w:r w:rsidRPr="00E203AD">
        <w:rPr>
          <w:rFonts w:ascii="Arial" w:eastAsia="Times New Roman" w:hAnsi="Arial" w:cs="Arial"/>
          <w:color w:val="2E2E2E"/>
          <w:sz w:val="27"/>
          <w:szCs w:val="27"/>
          <w:lang w:eastAsia="vi-VN"/>
        </w:rPr>
        <w:br/>
        <w:t>n) Người nước ngoài đang học tập tại Việt Nam được cấp học bổng từ ngân sách của Nhà nước Việt Nam.</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4. Nhóm được ngân sách nhà nước hỗ trợ mức đóng, bao gồm:</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a) Người thuộc hộ gia đình cận nghèo;</w:t>
      </w:r>
    </w:p>
    <w:p w:rsidR="00E203AD" w:rsidRPr="00E203AD" w:rsidRDefault="00E203AD" w:rsidP="00E203AD">
      <w:pPr>
        <w:shd w:val="clear" w:color="auto" w:fill="FFF88F"/>
        <w:spacing w:after="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b) Học sinh, sinh viên.</w:t>
      </w:r>
    </w:p>
    <w:p w:rsidR="00E203AD" w:rsidRPr="00E203AD" w:rsidRDefault="00E203AD" w:rsidP="00E203AD">
      <w:pPr>
        <w:shd w:val="clear" w:color="auto" w:fill="F96606"/>
        <w:spacing w:after="120" w:line="240" w:lineRule="auto"/>
        <w:jc w:val="center"/>
        <w:rPr>
          <w:rFonts w:ascii="Arial" w:eastAsia="Times New Roman" w:hAnsi="Arial" w:cs="Arial"/>
          <w:b/>
          <w:bCs/>
          <w:color w:val="2E2E2E"/>
          <w:sz w:val="27"/>
          <w:szCs w:val="27"/>
          <w:lang w:eastAsia="vi-VN"/>
        </w:rPr>
      </w:pPr>
      <w:r w:rsidRPr="00E203AD">
        <w:rPr>
          <w:rFonts w:ascii="Arial" w:eastAsia="Times New Roman" w:hAnsi="Arial" w:cs="Arial"/>
          <w:b/>
          <w:bCs/>
          <w:color w:val="2E2E2E"/>
          <w:sz w:val="27"/>
          <w:szCs w:val="27"/>
          <w:lang w:eastAsia="vi-VN"/>
        </w:rPr>
        <w:t>Bổ sung</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5. Nhóm tham gia bảo hiểm y tế theo hộ gia đình gồm những người thuộc hộ gia đình, trừ đối tượng quy định tại các khoản 1, 2, 3 và 4 Điều này.</w:t>
      </w:r>
      <w:r w:rsidRPr="00E203AD">
        <w:rPr>
          <w:rFonts w:ascii="Arial" w:eastAsia="Times New Roman" w:hAnsi="Arial" w:cs="Arial"/>
          <w:color w:val="2E2E2E"/>
          <w:sz w:val="27"/>
          <w:szCs w:val="27"/>
          <w:lang w:eastAsia="vi-VN"/>
        </w:rPr>
        <w:br/>
        <w:t xml:space="preserve">6. Chính phủ quy định các đối tượng khác ngoài các đối tượng quy định tại các khoản 3, 4 và 5 Điều này; quy định việc cấp thẻ bảo hiểm y tế đối với đối tượng do Bộ Quốc phòng, Bộ Công an quản lý và đối tượng quy định tại điểm 1 khoản 3 Điều này; quy định lộ trình thực hiện bảo hiểm y tế, phạm vi quyền lợi, mức hưởng bảo hiểm y tế, </w:t>
      </w:r>
      <w:r w:rsidRPr="00E203AD">
        <w:rPr>
          <w:rFonts w:ascii="Arial" w:eastAsia="Times New Roman" w:hAnsi="Arial" w:cs="Arial"/>
          <w:color w:val="2E2E2E"/>
          <w:sz w:val="27"/>
          <w:szCs w:val="27"/>
          <w:lang w:eastAsia="vi-VN"/>
        </w:rPr>
        <w:lastRenderedPageBreak/>
        <w:t>khám bệnh, chữa bệnh bảo hiểm y tế, quản lý, sử dụng phần kinh phí dành cho khám bệnh, chữa bệnh bảo hiểm y tế, giám định bảo hiểm y tế, thanh toán, quyết toán bảo hiểm y tế đối với các đối tượng quy định tại điểm a khoản 3 Điều này.”</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7. Sửa đổi, bổ sung </w:t>
      </w:r>
      <w:hyperlink r:id="rId16" w:history="1">
        <w:r w:rsidRPr="00E203AD">
          <w:rPr>
            <w:rFonts w:ascii="Arial" w:eastAsia="Times New Roman" w:hAnsi="Arial" w:cs="Arial"/>
            <w:color w:val="0000FF"/>
            <w:sz w:val="27"/>
            <w:szCs w:val="27"/>
            <w:u w:val="single"/>
            <w:lang w:eastAsia="vi-VN"/>
          </w:rPr>
          <w:t>Điều 13 </w:t>
        </w:r>
      </w:hyperlink>
      <w:r w:rsidRPr="00E203AD">
        <w:rPr>
          <w:rFonts w:ascii="Arial" w:eastAsia="Times New Roman" w:hAnsi="Arial" w:cs="Arial"/>
          <w:color w:val="2E2E2E"/>
          <w:sz w:val="27"/>
          <w:szCs w:val="27"/>
          <w:lang w:eastAsia="vi-VN"/>
        </w:rPr>
        <w:t>như sau:</w:t>
      </w:r>
      <w:r w:rsidRPr="00E203AD">
        <w:rPr>
          <w:rFonts w:ascii="Arial" w:eastAsia="Times New Roman" w:hAnsi="Arial" w:cs="Arial"/>
          <w:color w:val="2E2E2E"/>
          <w:sz w:val="27"/>
          <w:szCs w:val="27"/>
          <w:lang w:eastAsia="vi-VN"/>
        </w:rPr>
        <w:br/>
        <w:t>“Điều 13. Mức đóng và trách nhiệm đóng bảo hiểm y tế</w:t>
      </w:r>
      <w:r w:rsidRPr="00E203AD">
        <w:rPr>
          <w:rFonts w:ascii="Arial" w:eastAsia="Times New Roman" w:hAnsi="Arial" w:cs="Arial"/>
          <w:color w:val="2E2E2E"/>
          <w:sz w:val="27"/>
          <w:szCs w:val="27"/>
          <w:lang w:eastAsia="vi-VN"/>
        </w:rPr>
        <w:br/>
        <w:t>1. Mức đóng và trách nhiệm đóng bảo hiểm y tế được quy định như sau:</w:t>
      </w:r>
      <w:r w:rsidRPr="00E203AD">
        <w:rPr>
          <w:rFonts w:ascii="Arial" w:eastAsia="Times New Roman" w:hAnsi="Arial" w:cs="Arial"/>
          <w:color w:val="2E2E2E"/>
          <w:sz w:val="27"/>
          <w:szCs w:val="27"/>
          <w:lang w:eastAsia="vi-VN"/>
        </w:rPr>
        <w:br/>
        <w:t>a) Mức đóng hằng tháng của đối tượng quy định tại điểm a khoản 1 Điều 12 của Luật này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r w:rsidRPr="00E203AD">
        <w:rPr>
          <w:rFonts w:ascii="Arial" w:eastAsia="Times New Roman" w:hAnsi="Arial" w:cs="Arial"/>
          <w:color w:val="2E2E2E"/>
          <w:sz w:val="27"/>
          <w:szCs w:val="27"/>
          <w:lang w:eastAsia="vi-VN"/>
        </w:rPr>
        <w:br/>
        <w:t>b) Mức đóng hằng tháng của đối tượng quy định tại điểm b khoản 1 Điều 12 của Luật này tối đa bằng 6% mức lương cơ sở, trong đó người sử dụng lao động đóng 2/3 và người lao động đóng 1/3;</w:t>
      </w:r>
      <w:r w:rsidRPr="00E203AD">
        <w:rPr>
          <w:rFonts w:ascii="Arial" w:eastAsia="Times New Roman" w:hAnsi="Arial" w:cs="Arial"/>
          <w:color w:val="2E2E2E"/>
          <w:sz w:val="27"/>
          <w:szCs w:val="27"/>
          <w:lang w:eastAsia="vi-VN"/>
        </w:rPr>
        <w:br/>
        <w:t>c) Mức đóng hằng tháng của đối tượng quy định tại điểm a khoản 2 Điều 12 của Luật này tối đa bằng 6% tiền lương hưu, trợ cấp mất sức lao động và do tổ chức bảo hiểm xã hội đóng;</w:t>
      </w:r>
      <w:r w:rsidRPr="00E203AD">
        <w:rPr>
          <w:rFonts w:ascii="Arial" w:eastAsia="Times New Roman" w:hAnsi="Arial" w:cs="Arial"/>
          <w:color w:val="2E2E2E"/>
          <w:sz w:val="27"/>
          <w:szCs w:val="27"/>
          <w:lang w:eastAsia="vi-VN"/>
        </w:rPr>
        <w:br/>
        <w:t>d) Mức đóng hằng tháng của đối tượng quy định tại điểm b và điểm c khoản 2 Điều 12 của Luật này tối đa bằng 6% mức lương cơ sở và do tổ chức bảo hiểm xã hội đóng;</w:t>
      </w:r>
      <w:r w:rsidRPr="00E203AD">
        <w:rPr>
          <w:rFonts w:ascii="Arial" w:eastAsia="Times New Roman" w:hAnsi="Arial" w:cs="Arial"/>
          <w:color w:val="2E2E2E"/>
          <w:sz w:val="27"/>
          <w:szCs w:val="27"/>
          <w:lang w:eastAsia="vi-VN"/>
        </w:rPr>
        <w:br/>
        <w:t>đ) Mức đóng hằng tháng của đối tượng quy định tại điểm d khoản 2 Điều 12 của Luật này tối đa bằng 6% tiền trợ cấp thất nghiệp và do tổ chức bảo hiểm xã hội đóng;</w:t>
      </w:r>
      <w:r w:rsidRPr="00E203AD">
        <w:rPr>
          <w:rFonts w:ascii="Arial" w:eastAsia="Times New Roman" w:hAnsi="Arial" w:cs="Arial"/>
          <w:color w:val="2E2E2E"/>
          <w:sz w:val="27"/>
          <w:szCs w:val="27"/>
          <w:lang w:eastAsia="vi-VN"/>
        </w:rPr>
        <w:br/>
        <w:t>e) Mức đóng hằng tháng của đối tượng quy định tại điểm a khoản 3 Điều 12 của Luật này tối đa bằng 6% tiền lương tháng đối với người hưởng lương, tối đa bằng 6% mức lương cơ sở đối với người hưởng sinh hoạt phí và do ngân sách nhà nước đóng;</w:t>
      </w:r>
      <w:r w:rsidRPr="00E203AD">
        <w:rPr>
          <w:rFonts w:ascii="Arial" w:eastAsia="Times New Roman" w:hAnsi="Arial" w:cs="Arial"/>
          <w:color w:val="2E2E2E"/>
          <w:sz w:val="27"/>
          <w:szCs w:val="27"/>
          <w:lang w:eastAsia="vi-VN"/>
        </w:rPr>
        <w:br/>
        <w:t>g) Mức đóng hằng tháng của đối tượng quy định tại các điểm b, c, d, đ, e, g, h, i, k, l và m khoản 3 Điều 12 của Luật này tối đa bằng 6% mức lương cơ sở và do ngân sách nhà nước đóng;</w:t>
      </w:r>
      <w:r w:rsidRPr="00E203AD">
        <w:rPr>
          <w:rFonts w:ascii="Arial" w:eastAsia="Times New Roman" w:hAnsi="Arial" w:cs="Arial"/>
          <w:color w:val="2E2E2E"/>
          <w:sz w:val="27"/>
          <w:szCs w:val="27"/>
          <w:lang w:eastAsia="vi-VN"/>
        </w:rPr>
        <w:br/>
        <w:t>h) Mức đóng hằng tháng của đối tượng quy định tại điểm n khoản 3 Điều 12 của Luật này tối đa bằng 6% mức lương cơ sở và do cơ quan, tổ chức, đơn vị cấp học bổng đóng;</w:t>
      </w:r>
      <w:r w:rsidRPr="00E203AD">
        <w:rPr>
          <w:rFonts w:ascii="Arial" w:eastAsia="Times New Roman" w:hAnsi="Arial" w:cs="Arial"/>
          <w:color w:val="2E2E2E"/>
          <w:sz w:val="27"/>
          <w:szCs w:val="27"/>
          <w:lang w:eastAsia="vi-VN"/>
        </w:rPr>
        <w:br/>
        <w:t>i) Mức đóng hằng tháng của đối tượng quy định tại khoản 4 Điều 12 của Luật này tối đa bằng 6% mức lương cơ sở do đối tượng tự đóng và được ngân sách nhà nước hỗ trợ một phần mức đóng;</w:t>
      </w:r>
      <w:r w:rsidRPr="00E203AD">
        <w:rPr>
          <w:rFonts w:ascii="Arial" w:eastAsia="Times New Roman" w:hAnsi="Arial" w:cs="Arial"/>
          <w:color w:val="2E2E2E"/>
          <w:sz w:val="27"/>
          <w:szCs w:val="27"/>
          <w:lang w:eastAsia="vi-VN"/>
        </w:rPr>
        <w:br/>
        <w:t>k) Mức đóng hằng tháng của đối tượng quy định tại khoản 5 Điều 12 của Luật này tối đa bằng 6% mức lương cơ sở và do đối tượng đóng theo hộ gia đình.</w:t>
      </w:r>
      <w:r w:rsidRPr="00E203AD">
        <w:rPr>
          <w:rFonts w:ascii="Arial" w:eastAsia="Times New Roman" w:hAnsi="Arial" w:cs="Arial"/>
          <w:color w:val="2E2E2E"/>
          <w:sz w:val="27"/>
          <w:szCs w:val="27"/>
          <w:lang w:eastAsia="vi-VN"/>
        </w:rPr>
        <w:br/>
        <w:t xml:space="preserve">2. Trường hợp một người đồng thời thuộc nhiều đối tượng tham gia </w:t>
      </w:r>
      <w:r w:rsidRPr="00E203AD">
        <w:rPr>
          <w:rFonts w:ascii="Arial" w:eastAsia="Times New Roman" w:hAnsi="Arial" w:cs="Arial"/>
          <w:color w:val="2E2E2E"/>
          <w:sz w:val="27"/>
          <w:szCs w:val="27"/>
          <w:lang w:eastAsia="vi-VN"/>
        </w:rPr>
        <w:lastRenderedPageBreak/>
        <w:t>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r w:rsidRPr="00E203AD">
        <w:rPr>
          <w:rFonts w:ascii="Arial" w:eastAsia="Times New Roman" w:hAnsi="Arial" w:cs="Arial"/>
          <w:color w:val="2E2E2E"/>
          <w:sz w:val="27"/>
          <w:szCs w:val="27"/>
          <w:lang w:eastAsia="vi-VN"/>
        </w:rPr>
        <w:br/>
        <w:t>Trường hợp đối tượng quy định tại điểm a khoản 1 Điều 12 của Luật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r w:rsidRPr="00E203AD">
        <w:rPr>
          <w:rFonts w:ascii="Arial" w:eastAsia="Times New Roman" w:hAnsi="Arial" w:cs="Arial"/>
          <w:color w:val="2E2E2E"/>
          <w:sz w:val="27"/>
          <w:szCs w:val="27"/>
          <w:lang w:eastAsia="vi-VN"/>
        </w:rPr>
        <w:br/>
        <w:t>Trường hợp đối tượng quy định tại điểm b khoản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Ủy ban nhân dân cấp xã đóng.</w:t>
      </w:r>
      <w:r w:rsidRPr="00E203AD">
        <w:rPr>
          <w:rFonts w:ascii="Arial" w:eastAsia="Times New Roman" w:hAnsi="Arial" w:cs="Arial"/>
          <w:color w:val="2E2E2E"/>
          <w:sz w:val="27"/>
          <w:szCs w:val="27"/>
          <w:lang w:eastAsia="vi-VN"/>
        </w:rPr>
        <w:br/>
        <w:t>3. Tất cả thành viên thuộc hộ gia đình theo quy định tại khoản 5 Điều 12 của Luật này phải tham gia bảo hiểm y tế. Mức đóng được giảm dần từ thành viên thứ hai trở đi, cụ thể như sau:</w:t>
      </w:r>
      <w:r w:rsidRPr="00E203AD">
        <w:rPr>
          <w:rFonts w:ascii="Arial" w:eastAsia="Times New Roman" w:hAnsi="Arial" w:cs="Arial"/>
          <w:color w:val="2E2E2E"/>
          <w:sz w:val="27"/>
          <w:szCs w:val="27"/>
          <w:lang w:eastAsia="vi-VN"/>
        </w:rPr>
        <w:br/>
        <w:t>a) Người thứ nhất đóng tối đa bằng 6% mức lương cơ sở;</w:t>
      </w:r>
      <w:r w:rsidRPr="00E203AD">
        <w:rPr>
          <w:rFonts w:ascii="Arial" w:eastAsia="Times New Roman" w:hAnsi="Arial" w:cs="Arial"/>
          <w:color w:val="2E2E2E"/>
          <w:sz w:val="27"/>
          <w:szCs w:val="27"/>
          <w:lang w:eastAsia="vi-VN"/>
        </w:rPr>
        <w:br/>
        <w:t>b) Người thứ hai, thứ ba, thứ tư đóng lần lượt bằng 70%, 60%, 50% mức đóng của người thứ nhất;</w:t>
      </w:r>
      <w:r w:rsidRPr="00E203AD">
        <w:rPr>
          <w:rFonts w:ascii="Arial" w:eastAsia="Times New Roman" w:hAnsi="Arial" w:cs="Arial"/>
          <w:color w:val="2E2E2E"/>
          <w:sz w:val="27"/>
          <w:szCs w:val="27"/>
          <w:lang w:eastAsia="vi-VN"/>
        </w:rPr>
        <w:br/>
        <w:t>c) Từ người thứ năm trở đi đóng bằng 40% mức đóng của người thứ nhất.</w:t>
      </w:r>
      <w:r w:rsidRPr="00E203AD">
        <w:rPr>
          <w:rFonts w:ascii="Arial" w:eastAsia="Times New Roman" w:hAnsi="Arial" w:cs="Arial"/>
          <w:color w:val="2E2E2E"/>
          <w:sz w:val="27"/>
          <w:szCs w:val="27"/>
          <w:lang w:eastAsia="vi-VN"/>
        </w:rPr>
        <w:br/>
        <w:t>4. Chính phủ quy định cụ thể mức đóng, mức hỗ trợ quy định tại Điều này”.</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8. Sửa đổi, bổ sung </w:t>
      </w:r>
      <w:hyperlink r:id="rId17" w:history="1">
        <w:r w:rsidRPr="00E203AD">
          <w:rPr>
            <w:rFonts w:ascii="Arial" w:eastAsia="Times New Roman" w:hAnsi="Arial" w:cs="Arial"/>
            <w:color w:val="0000FF"/>
            <w:sz w:val="27"/>
            <w:szCs w:val="27"/>
            <w:u w:val="single"/>
            <w:lang w:eastAsia="vi-VN"/>
          </w:rPr>
          <w:t>Khoản 4</w:t>
        </w:r>
      </w:hyperlink>
      <w:r w:rsidRPr="00E203AD">
        <w:rPr>
          <w:rFonts w:ascii="Arial" w:eastAsia="Times New Roman" w:hAnsi="Arial" w:cs="Arial"/>
          <w:color w:val="2E2E2E"/>
          <w:sz w:val="27"/>
          <w:szCs w:val="27"/>
          <w:lang w:eastAsia="vi-VN"/>
        </w:rPr>
        <w:t> và </w:t>
      </w:r>
      <w:hyperlink r:id="rId18" w:history="1">
        <w:r w:rsidRPr="00E203AD">
          <w:rPr>
            <w:rFonts w:ascii="Arial" w:eastAsia="Times New Roman" w:hAnsi="Arial" w:cs="Arial"/>
            <w:color w:val="0000FF"/>
            <w:sz w:val="27"/>
            <w:szCs w:val="27"/>
            <w:u w:val="single"/>
            <w:lang w:eastAsia="vi-VN"/>
          </w:rPr>
          <w:t>Khoản 5 Điều 14</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4. Đối với các đối tượng khác thì căn cứ để đóng bảo hiểm y tế là mức lương cơ sở.</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5. Mức tiền lương tháng tối đa để tính số tiền đóng bảo hiểm y tế là 20 lần mức lương cơ sở.</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9. Sửa đổi, bổ sung </w:t>
      </w:r>
      <w:hyperlink r:id="rId19" w:history="1">
        <w:r w:rsidRPr="00E203AD">
          <w:rPr>
            <w:rFonts w:ascii="Arial" w:eastAsia="Times New Roman" w:hAnsi="Arial" w:cs="Arial"/>
            <w:color w:val="0000FF"/>
            <w:sz w:val="27"/>
            <w:szCs w:val="27"/>
            <w:u w:val="single"/>
            <w:lang w:eastAsia="vi-VN"/>
          </w:rPr>
          <w:t>Điều 15 </w:t>
        </w:r>
      </w:hyperlink>
      <w:r w:rsidRPr="00E203AD">
        <w:rPr>
          <w:rFonts w:ascii="Arial" w:eastAsia="Times New Roman" w:hAnsi="Arial" w:cs="Arial"/>
          <w:color w:val="2E2E2E"/>
          <w:sz w:val="27"/>
          <w:szCs w:val="27"/>
          <w:lang w:eastAsia="vi-VN"/>
        </w:rPr>
        <w:t>như sau:</w:t>
      </w:r>
      <w:r w:rsidRPr="00E203AD">
        <w:rPr>
          <w:rFonts w:ascii="Arial" w:eastAsia="Times New Roman" w:hAnsi="Arial" w:cs="Arial"/>
          <w:color w:val="2E2E2E"/>
          <w:sz w:val="27"/>
          <w:szCs w:val="27"/>
          <w:lang w:eastAsia="vi-VN"/>
        </w:rPr>
        <w:br/>
        <w:t>“Điều 15. Phương thức đóng bảo hiểm y tế</w:t>
      </w:r>
      <w:r w:rsidRPr="00E203AD">
        <w:rPr>
          <w:rFonts w:ascii="Arial" w:eastAsia="Times New Roman" w:hAnsi="Arial" w:cs="Arial"/>
          <w:color w:val="2E2E2E"/>
          <w:sz w:val="27"/>
          <w:szCs w:val="27"/>
          <w:lang w:eastAsia="vi-VN"/>
        </w:rPr>
        <w:br/>
        <w:t>1. Hằng tháng, người sử dụng lao động đóng bảo hiểm y tế cho người lao động và trích tiền đóng bảo hiểm y tế từ tiền lương của người lao động để nộp cùng một lúc vào quỹ bảo hiểm y tế.</w:t>
      </w:r>
      <w:r w:rsidRPr="00E203AD">
        <w:rPr>
          <w:rFonts w:ascii="Arial" w:eastAsia="Times New Roman" w:hAnsi="Arial" w:cs="Arial"/>
          <w:color w:val="2E2E2E"/>
          <w:sz w:val="27"/>
          <w:szCs w:val="27"/>
          <w:lang w:eastAsia="vi-VN"/>
        </w:rPr>
        <w:br/>
        <w:t>2. Đối với các doanh nghiệp thuộc lĩnh vực nông nghiệp, lâm nghiệp, ngư nghiệp, diêm nghiệp không trả lương theo tháng thì định kỳ 3 tháng hoặc 6 tháng một lần, người sử dụng lao động đóng bảo hiểm y tế cho người lao động và trích tiền đóng bảo hiểm y tế từ tiền lương của người lao động để nộp cùng một lúc vào quỹ bảo hiểm y tế.</w:t>
      </w:r>
      <w:r w:rsidRPr="00E203AD">
        <w:rPr>
          <w:rFonts w:ascii="Arial" w:eastAsia="Times New Roman" w:hAnsi="Arial" w:cs="Arial"/>
          <w:color w:val="2E2E2E"/>
          <w:sz w:val="27"/>
          <w:szCs w:val="27"/>
          <w:lang w:eastAsia="vi-VN"/>
        </w:rPr>
        <w:br/>
        <w:t>3. Hằng tháng, tổ chức bảo hiểm xã hội đóng bảo hiểm y tế theo quy định tại các điểm c, d và đ khoản 1 Điều 13 của Luật này vào quỹ bảo hiểm y tế.</w:t>
      </w:r>
      <w:r w:rsidRPr="00E203AD">
        <w:rPr>
          <w:rFonts w:ascii="Arial" w:eastAsia="Times New Roman" w:hAnsi="Arial" w:cs="Arial"/>
          <w:color w:val="2E2E2E"/>
          <w:sz w:val="27"/>
          <w:szCs w:val="27"/>
          <w:lang w:eastAsia="vi-VN"/>
        </w:rPr>
        <w:br/>
        <w:t>4. Hằng quý, cơ quan, tổ chức, đơn vị cấp học bổng đóng bảo hiểm y tế theo quy định tại điểm h khoản 1 Điều 13 của Luật này vào quỹ bảo hiểm y tế.</w:t>
      </w:r>
      <w:r w:rsidRPr="00E203AD">
        <w:rPr>
          <w:rFonts w:ascii="Arial" w:eastAsia="Times New Roman" w:hAnsi="Arial" w:cs="Arial"/>
          <w:color w:val="2E2E2E"/>
          <w:sz w:val="27"/>
          <w:szCs w:val="27"/>
          <w:lang w:eastAsia="vi-VN"/>
        </w:rPr>
        <w:br/>
      </w:r>
      <w:r w:rsidRPr="00E203AD">
        <w:rPr>
          <w:rFonts w:ascii="Arial" w:eastAsia="Times New Roman" w:hAnsi="Arial" w:cs="Arial"/>
          <w:color w:val="2E2E2E"/>
          <w:sz w:val="27"/>
          <w:szCs w:val="27"/>
          <w:lang w:eastAsia="vi-VN"/>
        </w:rPr>
        <w:lastRenderedPageBreak/>
        <w:t>5. Hằng quý, ngân sách nhà nước chuyển số tiền đóng, hỗ trợ đóng bảo hiểm y tế theo quy định tại các điểm e, g và i khoản 1 Điều 13 của Luật này vào quỹ bảo hiểm y tế.</w:t>
      </w:r>
      <w:r w:rsidRPr="00E203AD">
        <w:rPr>
          <w:rFonts w:ascii="Arial" w:eastAsia="Times New Roman" w:hAnsi="Arial" w:cs="Arial"/>
          <w:color w:val="2E2E2E"/>
          <w:sz w:val="27"/>
          <w:szCs w:val="27"/>
          <w:lang w:eastAsia="vi-VN"/>
        </w:rPr>
        <w:br/>
        <w:t>6. Định kỳ 3 tháng, 6 tháng hoặc 12 tháng, đại diện hộ gia đình, tổ chức, cá nhân đóng đủ số tiền thuộc trách nhiệm phải đóng vào quỹ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10. Sửa đổi, bổ sung </w:t>
      </w:r>
      <w:hyperlink r:id="rId20" w:history="1">
        <w:r w:rsidRPr="00E203AD">
          <w:rPr>
            <w:rFonts w:ascii="Arial" w:eastAsia="Times New Roman" w:hAnsi="Arial" w:cs="Arial"/>
            <w:color w:val="0000FF"/>
            <w:sz w:val="27"/>
            <w:szCs w:val="27"/>
            <w:u w:val="single"/>
            <w:lang w:eastAsia="vi-VN"/>
          </w:rPr>
          <w:t>Khoản 3</w:t>
        </w:r>
      </w:hyperlink>
      <w:r w:rsidRPr="00E203AD">
        <w:rPr>
          <w:rFonts w:ascii="Arial" w:eastAsia="Times New Roman" w:hAnsi="Arial" w:cs="Arial"/>
          <w:color w:val="2E2E2E"/>
          <w:sz w:val="27"/>
          <w:szCs w:val="27"/>
          <w:lang w:eastAsia="vi-VN"/>
        </w:rPr>
        <w:t> và </w:t>
      </w:r>
      <w:hyperlink r:id="rId21" w:history="1">
        <w:r w:rsidRPr="00E203AD">
          <w:rPr>
            <w:rFonts w:ascii="Arial" w:eastAsia="Times New Roman" w:hAnsi="Arial" w:cs="Arial"/>
            <w:color w:val="0000FF"/>
            <w:sz w:val="27"/>
            <w:szCs w:val="27"/>
            <w:u w:val="single"/>
            <w:lang w:eastAsia="vi-VN"/>
          </w:rPr>
          <w:t>Khoản 5 Điều 16</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“3. Thời điểm thẻ bảo hiểm y tế có giá trị sử dụng được quy định như sau:</w:t>
      </w:r>
      <w:r w:rsidRPr="00E203AD">
        <w:rPr>
          <w:rFonts w:ascii="Arial" w:eastAsia="Times New Roman" w:hAnsi="Arial" w:cs="Arial"/>
          <w:color w:val="2E2E2E"/>
          <w:sz w:val="27"/>
          <w:szCs w:val="27"/>
          <w:lang w:eastAsia="vi-VN"/>
        </w:rPr>
        <w:br/>
        <w:t>a) Đối tượng quy định tại các khoản 1, 2 và 3 Điều 12 của Luật này tham gia bảo hiểm y tế lần đầu, thẻ bảo hiểm y tế có giá trị sử dụng kể từ ngày đóng bảo hiểm y tế;</w:t>
      </w:r>
      <w:r w:rsidRPr="00E203AD">
        <w:rPr>
          <w:rFonts w:ascii="Arial" w:eastAsia="Times New Roman" w:hAnsi="Arial" w:cs="Arial"/>
          <w:color w:val="2E2E2E"/>
          <w:sz w:val="27"/>
          <w:szCs w:val="27"/>
          <w:lang w:eastAsia="vi-VN"/>
        </w:rPr>
        <w:br/>
        <w:t>b) Người tham gia bảo hiểm y tế liên tục kể từ lần thứ hai trở đi thì thẻ bảo hiểm y tế có giá trị sử dụng nối tiếp với ngày hết hạn sử dụng của thẻ lần trước;</w:t>
      </w:r>
      <w:r w:rsidRPr="00E203AD">
        <w:rPr>
          <w:rFonts w:ascii="Arial" w:eastAsia="Times New Roman" w:hAnsi="Arial" w:cs="Arial"/>
          <w:color w:val="2E2E2E"/>
          <w:sz w:val="27"/>
          <w:szCs w:val="27"/>
          <w:lang w:eastAsia="vi-VN"/>
        </w:rPr>
        <w:br/>
        <w:t>c) Đối tượng quy định tại khoản 4 và khoản 5 Điều 12 của Luật này tham gia bảo hiểm y tế từ ngày Luật này có hiệu lực thi hành hoặc tham gia không liên tục từ 3 tháng trở lên trong năm tài chính thì thẻ bảo hiểm y tế có giá trị sử dụng sau 30 ngày, kể từ ngày đóng bảo hiểm y tế;</w:t>
      </w:r>
      <w:r w:rsidRPr="00E203AD">
        <w:rPr>
          <w:rFonts w:ascii="Arial" w:eastAsia="Times New Roman" w:hAnsi="Arial" w:cs="Arial"/>
          <w:color w:val="2E2E2E"/>
          <w:sz w:val="27"/>
          <w:szCs w:val="27"/>
          <w:lang w:eastAsia="vi-VN"/>
        </w:rPr>
        <w:br/>
        <w:t>d) Đối với trẻ em dưới 6 tuổi thì thẻ bảo hiểm y tế có giá trị sử dụng đến ngày trẻ đủ 72 tháng tuổi. Trường hợp trẻ đủ 72 tháng tuổi mà chưa đến kỳ nhập học thì thẻ bảo hiểm y tế có giá trị sử dụng đến ngày 30 tháng 9 của năm đó.”</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“5. Tổ chức bảo hiểm y tế ban hành mẫu thẻ bảo hiểm y tế sau khi có ý kiến thống nhất của Bộ Y tế.” </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11. Sửa đổi, bổ sung </w:t>
      </w:r>
      <w:hyperlink r:id="rId22" w:history="1">
        <w:r w:rsidRPr="00E203AD">
          <w:rPr>
            <w:rFonts w:ascii="Arial" w:eastAsia="Times New Roman" w:hAnsi="Arial" w:cs="Arial"/>
            <w:color w:val="0000FF"/>
            <w:sz w:val="27"/>
            <w:szCs w:val="27"/>
            <w:u w:val="single"/>
            <w:lang w:eastAsia="vi-VN"/>
          </w:rPr>
          <w:t>Điều 17 </w:t>
        </w:r>
      </w:hyperlink>
      <w:r w:rsidRPr="00E203AD">
        <w:rPr>
          <w:rFonts w:ascii="Arial" w:eastAsia="Times New Roman" w:hAnsi="Arial" w:cs="Arial"/>
          <w:color w:val="2E2E2E"/>
          <w:sz w:val="27"/>
          <w:szCs w:val="27"/>
          <w:lang w:eastAsia="vi-VN"/>
        </w:rPr>
        <w:t>như sau:</w:t>
      </w:r>
      <w:r w:rsidRPr="00E203AD">
        <w:rPr>
          <w:rFonts w:ascii="Arial" w:eastAsia="Times New Roman" w:hAnsi="Arial" w:cs="Arial"/>
          <w:color w:val="2E2E2E"/>
          <w:sz w:val="27"/>
          <w:szCs w:val="27"/>
          <w:lang w:eastAsia="vi-VN"/>
        </w:rPr>
        <w:br/>
        <w:t>“Điều 17. Cấp thẻ bảo hiểm y tế</w:t>
      </w:r>
      <w:r w:rsidRPr="00E203AD">
        <w:rPr>
          <w:rFonts w:ascii="Arial" w:eastAsia="Times New Roman" w:hAnsi="Arial" w:cs="Arial"/>
          <w:color w:val="2E2E2E"/>
          <w:sz w:val="27"/>
          <w:szCs w:val="27"/>
          <w:lang w:eastAsia="vi-VN"/>
        </w:rPr>
        <w:br/>
        <w:t>1. Hồ sơ cấp thẻ bảo hiểm y tế, bao gồm:</w:t>
      </w:r>
      <w:r w:rsidRPr="00E203AD">
        <w:rPr>
          <w:rFonts w:ascii="Arial" w:eastAsia="Times New Roman" w:hAnsi="Arial" w:cs="Arial"/>
          <w:color w:val="2E2E2E"/>
          <w:sz w:val="27"/>
          <w:szCs w:val="27"/>
          <w:lang w:eastAsia="vi-VN"/>
        </w:rPr>
        <w:br/>
        <w:t>a) Tờ khai tham gia bảo hiểm y tế của tổ chức, cá nhân, hộ gia đình đối với người tham gia bảo hiểm y tế lần đầu;</w:t>
      </w:r>
      <w:r w:rsidRPr="00E203AD">
        <w:rPr>
          <w:rFonts w:ascii="Arial" w:eastAsia="Times New Roman" w:hAnsi="Arial" w:cs="Arial"/>
          <w:color w:val="2E2E2E"/>
          <w:sz w:val="27"/>
          <w:szCs w:val="27"/>
          <w:lang w:eastAsia="vi-VN"/>
        </w:rPr>
        <w:br/>
        <w:t>b) Danh sách tham gia bảo hiểm y tế của đối tượng quy định tại khoản 1 Điều 12 của Luật này do người sử dụng lao động lập.</w:t>
      </w:r>
      <w:r w:rsidRPr="00E203AD">
        <w:rPr>
          <w:rFonts w:ascii="Arial" w:eastAsia="Times New Roman" w:hAnsi="Arial" w:cs="Arial"/>
          <w:color w:val="2E2E2E"/>
          <w:sz w:val="27"/>
          <w:szCs w:val="27"/>
          <w:lang w:eastAsia="vi-VN"/>
        </w:rPr>
        <w:br/>
        <w:t>Danh sách tham gia bảo hiểm y tế của các đối tượng theo quy định tại các khoản 2, 3, 4 và 5 Điều 12 của Luật này do Ủy ban nhân dân cấp xã lập theo hộ gia đình, trừ đối tượng quy định tại các điểm a, 1 và n khoản 3 và điểm b khoản 4 Điều 12 của Luật này.</w:t>
      </w:r>
      <w:r w:rsidRPr="00E203AD">
        <w:rPr>
          <w:rFonts w:ascii="Arial" w:eastAsia="Times New Roman" w:hAnsi="Arial" w:cs="Arial"/>
          <w:color w:val="2E2E2E"/>
          <w:sz w:val="27"/>
          <w:szCs w:val="27"/>
          <w:lang w:eastAsia="vi-VN"/>
        </w:rPr>
        <w:br/>
        <w:t>Danh sách tham gia bảo hiểm y tế của các đối tượng do Bộ Giáo dục và Đào tạo, Bộ Lao động - Thương binh và Xã hội quản lý theo quy định tại các điểm n khoản 3 và điểm b khoản 4 Điều 12 của Luật này do các cơ sở giáo dục và đào tạo, cơ sở dạy nghề lập.</w:t>
      </w:r>
      <w:r w:rsidRPr="00E203AD">
        <w:rPr>
          <w:rFonts w:ascii="Arial" w:eastAsia="Times New Roman" w:hAnsi="Arial" w:cs="Arial"/>
          <w:color w:val="2E2E2E"/>
          <w:sz w:val="27"/>
          <w:szCs w:val="27"/>
          <w:lang w:eastAsia="vi-VN"/>
        </w:rPr>
        <w:br/>
        <w:t xml:space="preserve">Danh sách tham gia bảo hiểm y tế của các đối tượng do Bộ Quốc phòng, Bộ Công an quản lý quy định tại các điểm a khoản 1, điểm a và </w:t>
      </w:r>
      <w:r w:rsidRPr="00E203AD">
        <w:rPr>
          <w:rFonts w:ascii="Arial" w:eastAsia="Times New Roman" w:hAnsi="Arial" w:cs="Arial"/>
          <w:color w:val="2E2E2E"/>
          <w:sz w:val="27"/>
          <w:szCs w:val="27"/>
          <w:lang w:eastAsia="vi-VN"/>
        </w:rPr>
        <w:lastRenderedPageBreak/>
        <w:t>điểm n khoản 3, điểm b khoản 4 Điều 12 của Luật này và danh sách của các đối tượng quy định tại điểm 1 khoản 3 Điều 12 của Luật này do Bộ Quốc phòng và Bộ Công an lập.</w:t>
      </w:r>
      <w:r w:rsidRPr="00E203AD">
        <w:rPr>
          <w:rFonts w:ascii="Arial" w:eastAsia="Times New Roman" w:hAnsi="Arial" w:cs="Arial"/>
          <w:color w:val="2E2E2E"/>
          <w:sz w:val="27"/>
          <w:szCs w:val="27"/>
          <w:lang w:eastAsia="vi-VN"/>
        </w:rPr>
        <w:br/>
        <w:t>2. Trong thời hạn 10 ngày làm việc, kể từ ngày nhận đủ hồ sơ quy định tại khoản 1 Điều này, tổ chức bảo hiểm y tế phải chuyển thẻ bảo hiểm y tế cho cơ quan, tổ chức quản lý đối tượng hoặc cho người tham gia bảo hiểm y tế.</w:t>
      </w:r>
      <w:r w:rsidRPr="00E203AD">
        <w:rPr>
          <w:rFonts w:ascii="Arial" w:eastAsia="Times New Roman" w:hAnsi="Arial" w:cs="Arial"/>
          <w:color w:val="2E2E2E"/>
          <w:sz w:val="27"/>
          <w:szCs w:val="27"/>
          <w:lang w:eastAsia="vi-VN"/>
        </w:rPr>
        <w:br/>
        <w:t>3. Tổ chức bảo hiểm y tế ban hành mẫu hồ sơ quy định tại khoản 1 Điều này sau khi có ý kiến thống nhất của Bộ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12. Sửa đổi, bổ sung </w:t>
      </w:r>
      <w:hyperlink r:id="rId23" w:history="1">
        <w:r w:rsidRPr="00E203AD">
          <w:rPr>
            <w:rFonts w:ascii="Arial" w:eastAsia="Times New Roman" w:hAnsi="Arial" w:cs="Arial"/>
            <w:color w:val="0000FF"/>
            <w:sz w:val="27"/>
            <w:szCs w:val="27"/>
            <w:u w:val="single"/>
            <w:lang w:eastAsia="vi-VN"/>
          </w:rPr>
          <w:t>Khoản 3</w:t>
        </w:r>
      </w:hyperlink>
      <w:r w:rsidRPr="00E203AD">
        <w:rPr>
          <w:rFonts w:ascii="Arial" w:eastAsia="Times New Roman" w:hAnsi="Arial" w:cs="Arial"/>
          <w:color w:val="2E2E2E"/>
          <w:sz w:val="27"/>
          <w:szCs w:val="27"/>
          <w:lang w:eastAsia="vi-VN"/>
        </w:rPr>
        <w:t> và </w:t>
      </w:r>
      <w:hyperlink r:id="rId24" w:history="1">
        <w:r w:rsidRPr="00E203AD">
          <w:rPr>
            <w:rFonts w:ascii="Arial" w:eastAsia="Times New Roman" w:hAnsi="Arial" w:cs="Arial"/>
            <w:color w:val="0000FF"/>
            <w:sz w:val="27"/>
            <w:szCs w:val="27"/>
            <w:u w:val="single"/>
            <w:lang w:eastAsia="vi-VN"/>
          </w:rPr>
          <w:t>Khoản 4 Điều 18</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3. Trong thời hạn 7 ngày làm việc, kể từ ngày nhận được đơn đề nghị cấp lại thẻ, tổ chức bảo hiểm y tế phải cấp lại thẻ cho người tham gia bảo hiểm y tế. Trong thời gian chờ cấp lại thẻ, người tham gia bảo hiểm y tế vẫn được hưởng quyền lợi bảo hiểm y tế.</w:t>
      </w:r>
    </w:p>
    <w:p w:rsidR="00E203AD" w:rsidRPr="00E203AD" w:rsidRDefault="00E203AD" w:rsidP="00E203AD">
      <w:pPr>
        <w:shd w:val="clear" w:color="auto" w:fill="CACACA"/>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4. Người được cấp lại thẻ bảo hiểm y tế phải nộp phí. Bộ trưởng Bộ Tài chính quy định mức phí cấp lại thẻ bảo hiểm y tế. Trường hợp lỗi do tổ chức bảo hiểm y tế hoặc cơ quan lập danh sách thì người được cấp lại thẻ bảo hiểm y tế không phải nộp phí.</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13. Bổ sung điểm c </w:t>
      </w:r>
      <w:hyperlink r:id="rId25" w:history="1">
        <w:r w:rsidRPr="00E203AD">
          <w:rPr>
            <w:rFonts w:ascii="Arial" w:eastAsia="Times New Roman" w:hAnsi="Arial" w:cs="Arial"/>
            <w:color w:val="0000FF"/>
            <w:sz w:val="27"/>
            <w:szCs w:val="27"/>
            <w:u w:val="single"/>
            <w:lang w:eastAsia="vi-VN"/>
          </w:rPr>
          <w:t>Khoản 1 Điều 20</w:t>
        </w:r>
      </w:hyperlink>
      <w:r w:rsidRPr="00E203AD">
        <w:rPr>
          <w:rFonts w:ascii="Arial" w:eastAsia="Times New Roman" w:hAnsi="Arial" w:cs="Arial"/>
          <w:color w:val="2E2E2E"/>
          <w:sz w:val="27"/>
          <w:szCs w:val="27"/>
          <w:lang w:eastAsia="vi-VN"/>
        </w:rPr>
        <w:t> như sau:</w:t>
      </w:r>
      <w:r w:rsidRPr="00E203AD">
        <w:rPr>
          <w:rFonts w:ascii="Arial" w:eastAsia="Times New Roman" w:hAnsi="Arial" w:cs="Arial"/>
          <w:color w:val="2E2E2E"/>
          <w:sz w:val="27"/>
          <w:szCs w:val="27"/>
          <w:lang w:eastAsia="vi-VN"/>
        </w:rPr>
        <w:br/>
        <w:t>“c) Cấp trùng thẻ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14. Bãi bỏ </w:t>
      </w:r>
      <w:hyperlink r:id="rId26" w:history="1">
        <w:r w:rsidRPr="00E203AD">
          <w:rPr>
            <w:rFonts w:ascii="Arial" w:eastAsia="Times New Roman" w:hAnsi="Arial" w:cs="Arial"/>
            <w:color w:val="0000FF"/>
            <w:sz w:val="27"/>
            <w:szCs w:val="27"/>
            <w:u w:val="single"/>
            <w:lang w:eastAsia="vi-VN"/>
          </w:rPr>
          <w:t>Điểm b Khoản 1 Điều 21</w:t>
        </w:r>
      </w:hyperlink>
      <w:r w:rsidRPr="00E203AD">
        <w:rPr>
          <w:rFonts w:ascii="Arial" w:eastAsia="Times New Roman" w:hAnsi="Arial" w:cs="Arial"/>
          <w:color w:val="2E2E2E"/>
          <w:sz w:val="27"/>
          <w:szCs w:val="27"/>
          <w:lang w:eastAsia="vi-VN"/>
        </w:rPr>
        <w:t>; sửa đổi, bổ sung </w:t>
      </w:r>
      <w:hyperlink r:id="rId27" w:history="1">
        <w:r w:rsidRPr="00E203AD">
          <w:rPr>
            <w:rFonts w:ascii="Arial" w:eastAsia="Times New Roman" w:hAnsi="Arial" w:cs="Arial"/>
            <w:color w:val="0000FF"/>
            <w:sz w:val="27"/>
            <w:szCs w:val="27"/>
            <w:u w:val="single"/>
            <w:lang w:eastAsia="vi-VN"/>
          </w:rPr>
          <w:t>Điểm c Khoản 1</w:t>
        </w:r>
      </w:hyperlink>
      <w:r w:rsidRPr="00E203AD">
        <w:rPr>
          <w:rFonts w:ascii="Arial" w:eastAsia="Times New Roman" w:hAnsi="Arial" w:cs="Arial"/>
          <w:color w:val="2E2E2E"/>
          <w:sz w:val="27"/>
          <w:szCs w:val="27"/>
          <w:lang w:eastAsia="vi-VN"/>
        </w:rPr>
        <w:t> và </w:t>
      </w:r>
      <w:hyperlink r:id="rId28" w:history="1">
        <w:r w:rsidRPr="00E203AD">
          <w:rPr>
            <w:rFonts w:ascii="Arial" w:eastAsia="Times New Roman" w:hAnsi="Arial" w:cs="Arial"/>
            <w:color w:val="0000FF"/>
            <w:sz w:val="27"/>
            <w:szCs w:val="27"/>
            <w:u w:val="single"/>
            <w:lang w:eastAsia="vi-VN"/>
          </w:rPr>
          <w:t>Khoản 2 Điều 21</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c) Vận chuyển người bệnh từ tuyến huyện lên tuyến trên đối với đối tượng quy định tại các điểm a, d, e, g, h và i khoản 3 Điều 12 của Luật này trong trường hợp cấp cứu hoặc khi đang điều trị nội trú phải chuyển tuyến chuyên môn kỹ thuật.</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 Bộ trưởng Bộ Y tế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15. Sửa đổi, bổ sung </w:t>
      </w:r>
      <w:hyperlink r:id="rId29" w:history="1">
        <w:r w:rsidRPr="00E203AD">
          <w:rPr>
            <w:rFonts w:ascii="Arial" w:eastAsia="Times New Roman" w:hAnsi="Arial" w:cs="Arial"/>
            <w:color w:val="0000FF"/>
            <w:sz w:val="27"/>
            <w:szCs w:val="27"/>
            <w:u w:val="single"/>
            <w:lang w:eastAsia="vi-VN"/>
          </w:rPr>
          <w:t>Điều 22 </w:t>
        </w:r>
      </w:hyperlink>
      <w:r w:rsidRPr="00E203AD">
        <w:rPr>
          <w:rFonts w:ascii="Arial" w:eastAsia="Times New Roman" w:hAnsi="Arial" w:cs="Arial"/>
          <w:color w:val="2E2E2E"/>
          <w:sz w:val="27"/>
          <w:szCs w:val="27"/>
          <w:lang w:eastAsia="vi-VN"/>
        </w:rPr>
        <w:t>như sau:</w:t>
      </w:r>
      <w:r w:rsidRPr="00E203AD">
        <w:rPr>
          <w:rFonts w:ascii="Arial" w:eastAsia="Times New Roman" w:hAnsi="Arial" w:cs="Arial"/>
          <w:color w:val="2E2E2E"/>
          <w:sz w:val="27"/>
          <w:szCs w:val="27"/>
          <w:lang w:eastAsia="vi-VN"/>
        </w:rPr>
        <w:br/>
        <w:t>“Điều 22. Mức hưởng bảo hiểm y tế</w:t>
      </w:r>
      <w:r w:rsidRPr="00E203AD">
        <w:rPr>
          <w:rFonts w:ascii="Arial" w:eastAsia="Times New Roman" w:hAnsi="Arial" w:cs="Arial"/>
          <w:color w:val="2E2E2E"/>
          <w:sz w:val="27"/>
          <w:szCs w:val="27"/>
          <w:lang w:eastAsia="vi-VN"/>
        </w:rPr>
        <w:br/>
        <w:t>1. Người tham gia bảo hiểm y tế khi đi khám bệnh, chữa bệnh theo quy định tại các điều 26, 27 và 28 của Luật này thì được quỹ bảo hiểm y tế thanh toán chi phí khám bệnh, chữa bệnh trong phạm vi được hưởng với mức hưởng như sau:</w:t>
      </w:r>
      <w:r w:rsidRPr="00E203AD">
        <w:rPr>
          <w:rFonts w:ascii="Arial" w:eastAsia="Times New Roman" w:hAnsi="Arial" w:cs="Arial"/>
          <w:color w:val="2E2E2E"/>
          <w:sz w:val="27"/>
          <w:szCs w:val="27"/>
          <w:lang w:eastAsia="vi-VN"/>
        </w:rPr>
        <w:br/>
        <w:t xml:space="preserve">a) 100% chi phí khám bệnh, chữa bệnh đối với đối tượng quy định tại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w:t>
      </w:r>
      <w:r w:rsidRPr="00E203AD">
        <w:rPr>
          <w:rFonts w:ascii="Arial" w:eastAsia="Times New Roman" w:hAnsi="Arial" w:cs="Arial"/>
          <w:color w:val="2E2E2E"/>
          <w:sz w:val="27"/>
          <w:szCs w:val="27"/>
          <w:lang w:eastAsia="vi-VN"/>
        </w:rPr>
        <w:lastRenderedPageBreak/>
        <w:t>nhóm đối tượng này; trường hợp nguồn kinh phí này không đủ thì do ngân sách nhà nước bảo đảm;</w:t>
      </w:r>
      <w:r w:rsidRPr="00E203AD">
        <w:rPr>
          <w:rFonts w:ascii="Arial" w:eastAsia="Times New Roman" w:hAnsi="Arial" w:cs="Arial"/>
          <w:color w:val="2E2E2E"/>
          <w:sz w:val="27"/>
          <w:szCs w:val="27"/>
          <w:lang w:eastAsia="vi-VN"/>
        </w:rPr>
        <w:br/>
        <w:t>b) 100% chi phí khám bệnh, chữa bệnh đối với trường hợp chi phí cho một lần khám bệnh, chữa bệnh thấp hơn mức do Chính phủ quy định và khám bệnh, chữa bệnh tại tuyến xã;</w:t>
      </w:r>
      <w:r w:rsidRPr="00E203AD">
        <w:rPr>
          <w:rFonts w:ascii="Arial" w:eastAsia="Times New Roman" w:hAnsi="Arial" w:cs="Arial"/>
          <w:color w:val="2E2E2E"/>
          <w:sz w:val="27"/>
          <w:szCs w:val="27"/>
          <w:lang w:eastAsia="vi-VN"/>
        </w:rPr>
        <w:br/>
        <w:t>c) 100% chi phí khám bệnh, chữa bệnh khi người bệnh có thời gian tham gia bảo hiểm y tế 5 năm liên tục trở lên và có số tiền cùng chi trả chi phí khám bệnh, chữa bệnh trong năm lớn hơn 6 tháng lương cơ sở, trừ trường hợp tự đi khám bệnh, chữa bệnh không đúng tuyến;</w:t>
      </w:r>
      <w:r w:rsidRPr="00E203AD">
        <w:rPr>
          <w:rFonts w:ascii="Arial" w:eastAsia="Times New Roman" w:hAnsi="Arial" w:cs="Arial"/>
          <w:color w:val="2E2E2E"/>
          <w:sz w:val="27"/>
          <w:szCs w:val="27"/>
          <w:lang w:eastAsia="vi-VN"/>
        </w:rPr>
        <w:br/>
        <w:t>d) 95% chi phí khám bệnh, chữa bệnh đối với đối tượng quy định tại điểm a khoản 2, điểm k khoản 3 và điểm a khoản 4 Điều 12 của Luật này;</w:t>
      </w:r>
      <w:r w:rsidRPr="00E203AD">
        <w:rPr>
          <w:rFonts w:ascii="Arial" w:eastAsia="Times New Roman" w:hAnsi="Arial" w:cs="Arial"/>
          <w:color w:val="2E2E2E"/>
          <w:sz w:val="27"/>
          <w:szCs w:val="27"/>
          <w:lang w:eastAsia="vi-VN"/>
        </w:rPr>
        <w:br/>
        <w:t>đ) 80% chi phí khám bệnh, chữa bệnh đối với các đối tượng khác.</w:t>
      </w:r>
      <w:r w:rsidRPr="00E203AD">
        <w:rPr>
          <w:rFonts w:ascii="Arial" w:eastAsia="Times New Roman" w:hAnsi="Arial" w:cs="Arial"/>
          <w:color w:val="2E2E2E"/>
          <w:sz w:val="27"/>
          <w:szCs w:val="27"/>
          <w:lang w:eastAsia="vi-VN"/>
        </w:rPr>
        <w:br/>
        <w:t>2. Trường hợp một người thuộc nhiều đối tượng tham gia bảo hiểm y tế thì được hưởng quyền lợi bảo hiểm y tế theo đối tượng có quyền lợi cao nhất.</w:t>
      </w:r>
      <w:r w:rsidRPr="00E203AD">
        <w:rPr>
          <w:rFonts w:ascii="Arial" w:eastAsia="Times New Roman" w:hAnsi="Arial" w:cs="Arial"/>
          <w:color w:val="2E2E2E"/>
          <w:sz w:val="27"/>
          <w:szCs w:val="27"/>
          <w:lang w:eastAsia="vi-VN"/>
        </w:rPr>
        <w:br/>
        <w:t>3. Trường hợp người có thẻ bảo hiểm y tế tự đi khám bệnh, chữa bệnh không đúng tuyến được quỹ bảo hiểm y tế thanh toán theo mức hưởng quy định tại khoản 1 Điều này theo tỷ lệ như sau, trừ trường hợp quy định tại khoản 5 Điều này:</w:t>
      </w:r>
      <w:r w:rsidRPr="00E203AD">
        <w:rPr>
          <w:rFonts w:ascii="Arial" w:eastAsia="Times New Roman" w:hAnsi="Arial" w:cs="Arial"/>
          <w:color w:val="2E2E2E"/>
          <w:sz w:val="27"/>
          <w:szCs w:val="27"/>
          <w:lang w:eastAsia="vi-VN"/>
        </w:rPr>
        <w:br/>
        <w:t>a) Tại bệnh viện tuyến trung ương là 40% chi phí điều trị nội trú;</w:t>
      </w:r>
      <w:r w:rsidRPr="00E203AD">
        <w:rPr>
          <w:rFonts w:ascii="Arial" w:eastAsia="Times New Roman" w:hAnsi="Arial" w:cs="Arial"/>
          <w:color w:val="2E2E2E"/>
          <w:sz w:val="27"/>
          <w:szCs w:val="27"/>
          <w:lang w:eastAsia="vi-VN"/>
        </w:rPr>
        <w:br/>
        <w:t>b) Tại bệnh viện tuyến tỉnh là 60% chi phí điều trị nội trú từ ngày Luật này có hiệu lực đến ngày 31 tháng 12 năm 2020; 100% chi phí điều trị nội trú từ ngày 01 tháng 01 năm 2021 trong phạm vi cả nước;</w:t>
      </w:r>
      <w:r w:rsidRPr="00E203AD">
        <w:rPr>
          <w:rFonts w:ascii="Arial" w:eastAsia="Times New Roman" w:hAnsi="Arial" w:cs="Arial"/>
          <w:color w:val="2E2E2E"/>
          <w:sz w:val="27"/>
          <w:szCs w:val="27"/>
          <w:lang w:eastAsia="vi-VN"/>
        </w:rPr>
        <w:br/>
        <w:t>c) Tại bệnh viện tuyến huyện là 70% chi phí khám bệnh, chữa bệnh từ ngày Luật này có hiệu lực đến ngày 31 tháng 12 năm 2015; 100% chi phí khám bệnh, chữa bệnh từ ngày 01 tháng 01 năm 2016.</w:t>
      </w:r>
      <w:r w:rsidRPr="00E203AD">
        <w:rPr>
          <w:rFonts w:ascii="Arial" w:eastAsia="Times New Roman" w:hAnsi="Arial" w:cs="Arial"/>
          <w:color w:val="2E2E2E"/>
          <w:sz w:val="27"/>
          <w:szCs w:val="27"/>
          <w:lang w:eastAsia="vi-VN"/>
        </w:rPr>
        <w:br/>
        <w:t>4. Từ ngày 01 tháng 01 năm 2016, người tham gia bảo hiểm y tế đăng ký khám bệnh, chữa bệnh ban đầu tại trạm y tế tuyến xã hoặc phòng khám đa khoa hoặc bệnh viện tuyến huyện được quyền khám bệnh, chữa bệnh bảo hiểm y tế tại trạm y tế tuyến xã hoặc phòng khám đa khoa hoặc bệnh viện tuyến huyện trong cùng địa bàn tỉnh có mức hưởng theo quy định tại khoản 1 Điều này.</w:t>
      </w:r>
      <w:r w:rsidRPr="00E203AD">
        <w:rPr>
          <w:rFonts w:ascii="Arial" w:eastAsia="Times New Roman" w:hAnsi="Arial" w:cs="Arial"/>
          <w:color w:val="2E2E2E"/>
          <w:sz w:val="27"/>
          <w:szCs w:val="27"/>
          <w:lang w:eastAsia="vi-VN"/>
        </w:rPr>
        <w:br/>
        <w:t>5. Người dân tộc thiểu số và người thuộc hộ gia đình nghèo tham gia bảo hiểm y tế đang sinh sống tại vùng có điều kiện kinh tế - xã hội khó khăn, vùng có điều kiện kinh tế - xã hội đặc biệt khó khăn; người tham gia bảo hiểm y tế đang sinh sống tại xã đảo, huyện đảo khi tự đi khám bệnh, chữa bệnh không đúng tuyến được quỹ bảo hiểm y tế thanh toán chi phí khám bệnh, chữa bệnh đối với bệnh viện tuyến huyện, điều trị nội trú đối với bệnh viện tuyến tỉnh, tuyến trung ương và có mức hưởng theo quy định tại khoản 1 Điều này.</w:t>
      </w:r>
      <w:r w:rsidRPr="00E203AD">
        <w:rPr>
          <w:rFonts w:ascii="Arial" w:eastAsia="Times New Roman" w:hAnsi="Arial" w:cs="Arial"/>
          <w:color w:val="2E2E2E"/>
          <w:sz w:val="27"/>
          <w:szCs w:val="27"/>
          <w:lang w:eastAsia="vi-VN"/>
        </w:rPr>
        <w:br/>
        <w:t xml:space="preserve">6. Từ ngày 01 tháng 01 năm 2021, quỹ bảo hiểm y tế chi trả chi phí điều trị nội trú theo mức hưởng quy định tại khoản 1 Điều này cho người tham gia bảo hiểm y tế khi tự đi khám bệnh, chữa bệnh không </w:t>
      </w:r>
      <w:r w:rsidRPr="00E203AD">
        <w:rPr>
          <w:rFonts w:ascii="Arial" w:eastAsia="Times New Roman" w:hAnsi="Arial" w:cs="Arial"/>
          <w:color w:val="2E2E2E"/>
          <w:sz w:val="27"/>
          <w:szCs w:val="27"/>
          <w:lang w:eastAsia="vi-VN"/>
        </w:rPr>
        <w:lastRenderedPageBreak/>
        <w:t>đúng tuyến tại các cơ sở khám bệnh, chữa bệnh tuyến tỉnh trong phạm vi cả nước.</w:t>
      </w:r>
      <w:r w:rsidRPr="00E203AD">
        <w:rPr>
          <w:rFonts w:ascii="Arial" w:eastAsia="Times New Roman" w:hAnsi="Arial" w:cs="Arial"/>
          <w:color w:val="2E2E2E"/>
          <w:sz w:val="27"/>
          <w:szCs w:val="27"/>
          <w:lang w:eastAsia="vi-VN"/>
        </w:rPr>
        <w:br/>
        <w:t>7. Chính phủ quy định cụ thể mức hưởng đối với việc khám bệnh, chữa bệnh bảo hiểm y tế tại các địa bàn giáp ranh; các trường hợp khám bệnh, chữa bệnh theo yêu cầu và các trường hợp khác không thuộc quy định tại khoản 1 Điều này.”</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16. Bãi bỏ </w:t>
      </w:r>
      <w:hyperlink r:id="rId30" w:history="1">
        <w:r w:rsidRPr="00E203AD">
          <w:rPr>
            <w:rFonts w:ascii="Arial" w:eastAsia="Times New Roman" w:hAnsi="Arial" w:cs="Arial"/>
            <w:color w:val="0000FF"/>
            <w:sz w:val="27"/>
            <w:szCs w:val="27"/>
            <w:u w:val="single"/>
            <w:lang w:eastAsia="vi-VN"/>
          </w:rPr>
          <w:t>Khoản 10</w:t>
        </w:r>
      </w:hyperlink>
      <w:r w:rsidRPr="00E203AD">
        <w:rPr>
          <w:rFonts w:ascii="Arial" w:eastAsia="Times New Roman" w:hAnsi="Arial" w:cs="Arial"/>
          <w:color w:val="2E2E2E"/>
          <w:sz w:val="27"/>
          <w:szCs w:val="27"/>
          <w:lang w:eastAsia="vi-VN"/>
        </w:rPr>
        <w:t> và </w:t>
      </w:r>
      <w:hyperlink r:id="rId31" w:history="1">
        <w:r w:rsidRPr="00E203AD">
          <w:rPr>
            <w:rFonts w:ascii="Arial" w:eastAsia="Times New Roman" w:hAnsi="Arial" w:cs="Arial"/>
            <w:color w:val="0000FF"/>
            <w:sz w:val="27"/>
            <w:szCs w:val="27"/>
            <w:u w:val="single"/>
            <w:lang w:eastAsia="vi-VN"/>
          </w:rPr>
          <w:t>Khoản 12 Điều 23</w:t>
        </w:r>
      </w:hyperlink>
      <w:r w:rsidRPr="00E203AD">
        <w:rPr>
          <w:rFonts w:ascii="Arial" w:eastAsia="Times New Roman" w:hAnsi="Arial" w:cs="Arial"/>
          <w:color w:val="2E2E2E"/>
          <w:sz w:val="27"/>
          <w:szCs w:val="27"/>
          <w:lang w:eastAsia="vi-VN"/>
        </w:rPr>
        <w:t>; sửa đổi, bổ sung </w:t>
      </w:r>
      <w:hyperlink r:id="rId32" w:history="1">
        <w:r w:rsidRPr="00E203AD">
          <w:rPr>
            <w:rFonts w:ascii="Arial" w:eastAsia="Times New Roman" w:hAnsi="Arial" w:cs="Arial"/>
            <w:color w:val="0000FF"/>
            <w:sz w:val="27"/>
            <w:szCs w:val="27"/>
            <w:u w:val="single"/>
            <w:lang w:eastAsia="vi-VN"/>
          </w:rPr>
          <w:t>Khoản 7</w:t>
        </w:r>
      </w:hyperlink>
      <w:r w:rsidRPr="00E203AD">
        <w:rPr>
          <w:rFonts w:ascii="Arial" w:eastAsia="Times New Roman" w:hAnsi="Arial" w:cs="Arial"/>
          <w:color w:val="2E2E2E"/>
          <w:sz w:val="27"/>
          <w:szCs w:val="27"/>
          <w:lang w:eastAsia="vi-VN"/>
        </w:rPr>
        <w:t> và </w:t>
      </w:r>
      <w:hyperlink r:id="rId33" w:history="1">
        <w:r w:rsidRPr="00E203AD">
          <w:rPr>
            <w:rFonts w:ascii="Arial" w:eastAsia="Times New Roman" w:hAnsi="Arial" w:cs="Arial"/>
            <w:color w:val="0000FF"/>
            <w:sz w:val="27"/>
            <w:szCs w:val="27"/>
            <w:u w:val="single"/>
            <w:lang w:eastAsia="vi-VN"/>
          </w:rPr>
          <w:t>Khoản 9 Điều 23</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7. Điều trị lác, cận thị và tật khúc xạ của mắt, trừ trường hợp trẻ em dưới 6 tuổi.</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9. Khám bệnh, chữa bệnh, phục hồi chức năng trong trường hợp thảm họa.</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17. Sửa đổi, bổ sung </w:t>
      </w:r>
      <w:hyperlink r:id="rId34" w:history="1">
        <w:r w:rsidRPr="00E203AD">
          <w:rPr>
            <w:rFonts w:ascii="Arial" w:eastAsia="Times New Roman" w:hAnsi="Arial" w:cs="Arial"/>
            <w:color w:val="0000FF"/>
            <w:sz w:val="27"/>
            <w:szCs w:val="27"/>
            <w:u w:val="single"/>
            <w:lang w:eastAsia="vi-VN"/>
          </w:rPr>
          <w:t>Điều 24 </w:t>
        </w:r>
      </w:hyperlink>
      <w:r w:rsidRPr="00E203AD">
        <w:rPr>
          <w:rFonts w:ascii="Arial" w:eastAsia="Times New Roman" w:hAnsi="Arial" w:cs="Arial"/>
          <w:color w:val="2E2E2E"/>
          <w:sz w:val="27"/>
          <w:szCs w:val="27"/>
          <w:lang w:eastAsia="vi-VN"/>
        </w:rPr>
        <w:t>như sau:</w:t>
      </w:r>
      <w:r w:rsidRPr="00E203AD">
        <w:rPr>
          <w:rFonts w:ascii="Arial" w:eastAsia="Times New Roman" w:hAnsi="Arial" w:cs="Arial"/>
          <w:color w:val="2E2E2E"/>
          <w:sz w:val="27"/>
          <w:szCs w:val="27"/>
          <w:lang w:eastAsia="vi-VN"/>
        </w:rPr>
        <w:br/>
        <w:t>“Điều 24. Cơ sở khám bệnh, chữa bệnh bảo hiểm y tế</w:t>
      </w:r>
      <w:r w:rsidRPr="00E203AD">
        <w:rPr>
          <w:rFonts w:ascii="Arial" w:eastAsia="Times New Roman" w:hAnsi="Arial" w:cs="Arial"/>
          <w:color w:val="2E2E2E"/>
          <w:sz w:val="27"/>
          <w:szCs w:val="27"/>
          <w:lang w:eastAsia="vi-VN"/>
        </w:rPr>
        <w:br/>
        <w:t>Cơ sở khám bệnh, chữa bệnh bảo hiểm y tế là cơ sở y tế theo quy định của Luật khám bệnh, chữa bệnh có ký kết hợp đồng khám bệnh, chữa bệnh với tổ chức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18. Sửa đổi, bổ sung </w:t>
      </w:r>
      <w:hyperlink r:id="rId35" w:history="1">
        <w:r w:rsidRPr="00E203AD">
          <w:rPr>
            <w:rFonts w:ascii="Arial" w:eastAsia="Times New Roman" w:hAnsi="Arial" w:cs="Arial"/>
            <w:color w:val="0000FF"/>
            <w:sz w:val="27"/>
            <w:szCs w:val="27"/>
            <w:u w:val="single"/>
            <w:lang w:eastAsia="vi-VN"/>
          </w:rPr>
          <w:t>Điểm a Khoản 2</w:t>
        </w:r>
      </w:hyperlink>
      <w:r w:rsidRPr="00E203AD">
        <w:rPr>
          <w:rFonts w:ascii="Arial" w:eastAsia="Times New Roman" w:hAnsi="Arial" w:cs="Arial"/>
          <w:color w:val="2E2E2E"/>
          <w:sz w:val="27"/>
          <w:szCs w:val="27"/>
          <w:lang w:eastAsia="vi-VN"/>
        </w:rPr>
        <w:t> và </w:t>
      </w:r>
      <w:hyperlink r:id="rId36" w:history="1">
        <w:r w:rsidRPr="00E203AD">
          <w:rPr>
            <w:rFonts w:ascii="Arial" w:eastAsia="Times New Roman" w:hAnsi="Arial" w:cs="Arial"/>
            <w:color w:val="0000FF"/>
            <w:sz w:val="27"/>
            <w:szCs w:val="27"/>
            <w:u w:val="single"/>
            <w:lang w:eastAsia="vi-VN"/>
          </w:rPr>
          <w:t>Khoản 4 Điều 25</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“a) Đối tượng phục vụ và yêu cầu về phạm vi cung ứng dịch vụ; dự kiến số lượng thẻ và cơ cấu nhóm đối tượng tham gia bảo hiểm y tế đối với cơ sở khám bệnh, chữa bệnh bảo hiểm y tế ban đầu.”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“4. Bộ Y tế chủ trì, phối hợp với Bộ Tài chính quy định mẫu hợp đồng khám bệnh, chữa bệnh bảo hiểm y tế.” </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19. Sửa đổi, bổ sung </w:t>
      </w:r>
      <w:hyperlink r:id="rId37" w:history="1">
        <w:r w:rsidRPr="00E203AD">
          <w:rPr>
            <w:rFonts w:ascii="Arial" w:eastAsia="Times New Roman" w:hAnsi="Arial" w:cs="Arial"/>
            <w:color w:val="0000FF"/>
            <w:sz w:val="27"/>
            <w:szCs w:val="27"/>
            <w:u w:val="single"/>
            <w:lang w:eastAsia="vi-VN"/>
          </w:rPr>
          <w:t>Điểm a Khoản 1 Điều 30</w:t>
        </w:r>
      </w:hyperlink>
      <w:r w:rsidRPr="00E203AD">
        <w:rPr>
          <w:rFonts w:ascii="Arial" w:eastAsia="Times New Roman" w:hAnsi="Arial" w:cs="Arial"/>
          <w:color w:val="2E2E2E"/>
          <w:sz w:val="27"/>
          <w:szCs w:val="27"/>
          <w:lang w:eastAsia="vi-VN"/>
        </w:rPr>
        <w:t> như sau:</w:t>
      </w:r>
      <w:r w:rsidRPr="00E203AD">
        <w:rPr>
          <w:rFonts w:ascii="Arial" w:eastAsia="Times New Roman" w:hAnsi="Arial" w:cs="Arial"/>
          <w:color w:val="2E2E2E"/>
          <w:sz w:val="27"/>
          <w:szCs w:val="27"/>
          <w:lang w:eastAsia="vi-VN"/>
        </w:rPr>
        <w:br/>
        <w:t>“a) Thanh toán theo định suất là thanh toán theo mức phí được xác định trước theo phạm vi dịch vụ cho một đầu thẻ đăng ký tại cơ sở cung ứng dịch vụ y tế trong một khoảng thời gian nhất định;”</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20. Sửa đổi, bổ sung </w:t>
      </w:r>
      <w:hyperlink r:id="rId38" w:history="1">
        <w:r w:rsidRPr="00E203AD">
          <w:rPr>
            <w:rFonts w:ascii="Arial" w:eastAsia="Times New Roman" w:hAnsi="Arial" w:cs="Arial"/>
            <w:color w:val="0000FF"/>
            <w:sz w:val="27"/>
            <w:szCs w:val="27"/>
            <w:u w:val="single"/>
            <w:lang w:eastAsia="vi-VN"/>
          </w:rPr>
          <w:t>Khoản 2</w:t>
        </w:r>
      </w:hyperlink>
      <w:r w:rsidRPr="00E203AD">
        <w:rPr>
          <w:rFonts w:ascii="Arial" w:eastAsia="Times New Roman" w:hAnsi="Arial" w:cs="Arial"/>
          <w:color w:val="2E2E2E"/>
          <w:sz w:val="27"/>
          <w:szCs w:val="27"/>
          <w:lang w:eastAsia="vi-VN"/>
        </w:rPr>
        <w:t>; bổ sung khoản 5 </w:t>
      </w:r>
      <w:hyperlink r:id="rId39" w:history="1">
        <w:r w:rsidRPr="00E203AD">
          <w:rPr>
            <w:rFonts w:ascii="Arial" w:eastAsia="Times New Roman" w:hAnsi="Arial" w:cs="Arial"/>
            <w:color w:val="0000FF"/>
            <w:sz w:val="27"/>
            <w:szCs w:val="27"/>
            <w:u w:val="single"/>
            <w:lang w:eastAsia="vi-VN"/>
          </w:rPr>
          <w:t>Điều 31</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 Tổ chức bảo hiểm y tế thanh toán chi phí khám bệnh, chữa bệnh bảo hiểm y tế trực tiếp cho người có thẻ bảo hiểm y tế đi khám bệnh, chữa bệnh trong các trường hợp sau đây:</w:t>
      </w:r>
      <w:r w:rsidRPr="00E203AD">
        <w:rPr>
          <w:rFonts w:ascii="Arial" w:eastAsia="Times New Roman" w:hAnsi="Arial" w:cs="Arial"/>
          <w:color w:val="2E2E2E"/>
          <w:sz w:val="27"/>
          <w:szCs w:val="27"/>
          <w:lang w:eastAsia="vi-VN"/>
        </w:rPr>
        <w:br/>
        <w:t>a) Tại cơ sở khám bệnh, chữa bệnh không có hợp đồng khám bệnh, chữa bệnh bảo hiểm y tế;</w:t>
      </w:r>
      <w:r w:rsidRPr="00E203AD">
        <w:rPr>
          <w:rFonts w:ascii="Arial" w:eastAsia="Times New Roman" w:hAnsi="Arial" w:cs="Arial"/>
          <w:color w:val="2E2E2E"/>
          <w:sz w:val="27"/>
          <w:szCs w:val="27"/>
          <w:lang w:eastAsia="vi-VN"/>
        </w:rPr>
        <w:br/>
        <w:t>b) Khám bệnh, chữa bệnh không đúng quy định tại Điều 28 của Luật này;</w:t>
      </w:r>
      <w:r w:rsidRPr="00E203AD">
        <w:rPr>
          <w:rFonts w:ascii="Arial" w:eastAsia="Times New Roman" w:hAnsi="Arial" w:cs="Arial"/>
          <w:color w:val="2E2E2E"/>
          <w:sz w:val="27"/>
          <w:szCs w:val="27"/>
          <w:lang w:eastAsia="vi-VN"/>
        </w:rPr>
        <w:br/>
        <w:t>c) Trường hợp đặc biệt khác do Bộ trưởng Bộ Y tế quy định.”</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“5. Bộ trưởng Bộ Y tế chủ trì, phối hợp với Bộ trưởng Bộ Tài chính quy định thống nhất giá dịch vụ khám bệnh, chữa bệnh bảo hiểm y tế giữa các bệnh viện cùng hạng trên toàn quốc.” </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lastRenderedPageBreak/>
        <w:t>21. Sửa đổi, bổ sung </w:t>
      </w:r>
      <w:hyperlink r:id="rId40" w:history="1">
        <w:r w:rsidRPr="00E203AD">
          <w:rPr>
            <w:rFonts w:ascii="Arial" w:eastAsia="Times New Roman" w:hAnsi="Arial" w:cs="Arial"/>
            <w:color w:val="0000FF"/>
            <w:sz w:val="27"/>
            <w:szCs w:val="27"/>
            <w:u w:val="single"/>
            <w:lang w:eastAsia="vi-VN"/>
          </w:rPr>
          <w:t>Điều 32 </w:t>
        </w:r>
      </w:hyperlink>
      <w:r w:rsidRPr="00E203AD">
        <w:rPr>
          <w:rFonts w:ascii="Arial" w:eastAsia="Times New Roman" w:hAnsi="Arial" w:cs="Arial"/>
          <w:color w:val="2E2E2E"/>
          <w:sz w:val="27"/>
          <w:szCs w:val="27"/>
          <w:lang w:eastAsia="vi-VN"/>
        </w:rPr>
        <w:t>như sau:</w:t>
      </w:r>
      <w:r w:rsidRPr="00E203AD">
        <w:rPr>
          <w:rFonts w:ascii="Arial" w:eastAsia="Times New Roman" w:hAnsi="Arial" w:cs="Arial"/>
          <w:color w:val="2E2E2E"/>
          <w:sz w:val="27"/>
          <w:szCs w:val="27"/>
          <w:lang w:eastAsia="vi-VN"/>
        </w:rPr>
        <w:br/>
        <w:t>“Điều 32. Tạm ứng, thanh toán, quyết toán chi phí khám bệnh, chữa bệnh bảo hiểm y tế</w:t>
      </w:r>
      <w:r w:rsidRPr="00E203AD">
        <w:rPr>
          <w:rFonts w:ascii="Arial" w:eastAsia="Times New Roman" w:hAnsi="Arial" w:cs="Arial"/>
          <w:color w:val="2E2E2E"/>
          <w:sz w:val="27"/>
          <w:szCs w:val="27"/>
          <w:lang w:eastAsia="vi-VN"/>
        </w:rPr>
        <w:br/>
        <w:t>1. Việc tạm ứng kinh phí của tổ chức bảo hiểm y tế cho cơ sở khám bệnh, chữa bệnh bảo hiểm y tế được thực hiện hằng quý như sau:</w:t>
      </w:r>
      <w:r w:rsidRPr="00E203AD">
        <w:rPr>
          <w:rFonts w:ascii="Arial" w:eastAsia="Times New Roman" w:hAnsi="Arial" w:cs="Arial"/>
          <w:color w:val="2E2E2E"/>
          <w:sz w:val="27"/>
          <w:szCs w:val="27"/>
          <w:lang w:eastAsia="vi-VN"/>
        </w:rPr>
        <w:br/>
        <w:t>a) Trong thời hạn 5 ngày làm việc, kể từ ngày nhận được báo cáo quyết toán quý trước của cơ sở khám bệnh, chữa bệnh, tổ chức bảo hiểm y tế tạm ứng một lần bằng 80% chi phí khám bệnh, chữa bệnh bảo hiểm y tế theo báo cáo quyết toán quý trước của cơ sở khám bệnh, chữa bệnh;</w:t>
      </w:r>
      <w:r w:rsidRPr="00E203AD">
        <w:rPr>
          <w:rFonts w:ascii="Arial" w:eastAsia="Times New Roman" w:hAnsi="Arial" w:cs="Arial"/>
          <w:color w:val="2E2E2E"/>
          <w:sz w:val="27"/>
          <w:szCs w:val="27"/>
          <w:lang w:eastAsia="vi-VN"/>
        </w:rPr>
        <w:br/>
        <w:t>b) Đối với cơ sở khám bệnh, chữa bệnh lần đầu ký hợp đồng khám bệnh, chữa bệnh bảo hiểm y tế có đăng ký khám bệnh, chữa bệnh bảo hiểm y tế ban đầu, được tạm ứng 80% nguồn kinh phí được sử dụng tại cơ sở khám bệnh, chữa bệnh theo thông báo đầu kỳ của tổ chức bảo hiểm y tế; trường hợp không có đăng ký khám bệnh, chữa bệnh bảo hiểm y tế ban đầu, căn cứ số chi khám bệnh, chữa bệnh sau một tháng thực hiện hợp đồng, tổ chức bảo hiểm y tế dự kiến và tạm ứng 80% kinh phí khám bệnh, chữa bệnh bảo hiểm y tế trong quý;</w:t>
      </w:r>
      <w:r w:rsidRPr="00E203AD">
        <w:rPr>
          <w:rFonts w:ascii="Arial" w:eastAsia="Times New Roman" w:hAnsi="Arial" w:cs="Arial"/>
          <w:color w:val="2E2E2E"/>
          <w:sz w:val="27"/>
          <w:szCs w:val="27"/>
          <w:lang w:eastAsia="vi-VN"/>
        </w:rPr>
        <w:br/>
        <w:t>c) Trường hợp kinh phí tạm ứng cho các cơ sở khám bệnh, chữa bệnh bảo hiểm y tế trên địa bàn tỉnh vượt quá số kinh phí được sử dụng trong quý, tổ chức bảo hiểm y tế tỉnh, thành phố trực thuộc trung ương báo cáo với Bảo hiểm xã hội Việt Nam để bổ sung kinh phí.</w:t>
      </w:r>
      <w:r w:rsidRPr="00E203AD">
        <w:rPr>
          <w:rFonts w:ascii="Arial" w:eastAsia="Times New Roman" w:hAnsi="Arial" w:cs="Arial"/>
          <w:color w:val="2E2E2E"/>
          <w:sz w:val="27"/>
          <w:szCs w:val="27"/>
          <w:lang w:eastAsia="vi-VN"/>
        </w:rPr>
        <w:br/>
        <w:t>2. Việc thanh toán, quyết toán giữa cơ sở khám bệnh, chữa bệnh và tổ chức bảo hiểm y tế được thực hiện như sau:</w:t>
      </w:r>
      <w:r w:rsidRPr="00E203AD">
        <w:rPr>
          <w:rFonts w:ascii="Arial" w:eastAsia="Times New Roman" w:hAnsi="Arial" w:cs="Arial"/>
          <w:color w:val="2E2E2E"/>
          <w:sz w:val="27"/>
          <w:szCs w:val="27"/>
          <w:lang w:eastAsia="vi-VN"/>
        </w:rPr>
        <w:br/>
        <w:t>a) Trong thời hạn 15 ngày đầu mỗi tháng, cơ sở khám bệnh, chữa bệnh bảo hiểm y tế có trách nhiệm gửi bản tổng hợp đề nghị thanh toán chi 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bảo hiểm y tế;</w:t>
      </w:r>
      <w:r w:rsidRPr="00E203AD">
        <w:rPr>
          <w:rFonts w:ascii="Arial" w:eastAsia="Times New Roman" w:hAnsi="Arial" w:cs="Arial"/>
          <w:color w:val="2E2E2E"/>
          <w:sz w:val="27"/>
          <w:szCs w:val="27"/>
          <w:lang w:eastAsia="vi-VN"/>
        </w:rPr>
        <w:br/>
        <w:t>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r w:rsidRPr="00E203AD">
        <w:rPr>
          <w:rFonts w:ascii="Arial" w:eastAsia="Times New Roman" w:hAnsi="Arial" w:cs="Arial"/>
          <w:color w:val="2E2E2E"/>
          <w:sz w:val="27"/>
          <w:szCs w:val="27"/>
          <w:lang w:eastAsia="vi-VN"/>
        </w:rPr>
        <w:br/>
        <w:t>c) Trong thời hạn 10 ngày, kể từ ngày thông báo số quyết toán chi phí khám bệnh, chữa bệnh bảo hiểm y tế, tổ chức bảo hiểm y tế phải hoàn thành việc thanh toán với cơ sở khám bệnh, chữa bệnh;</w:t>
      </w:r>
      <w:r w:rsidRPr="00E203AD">
        <w:rPr>
          <w:rFonts w:ascii="Arial" w:eastAsia="Times New Roman" w:hAnsi="Arial" w:cs="Arial"/>
          <w:color w:val="2E2E2E"/>
          <w:sz w:val="27"/>
          <w:szCs w:val="27"/>
          <w:lang w:eastAsia="vi-VN"/>
        </w:rPr>
        <w:br/>
        <w:t>d) Việc thẩm định quyết toán năm đối với quỹ bảo hiểm y tế và thanh toán số kinh phí chưa sử dụng hết (nếu có) đối với các tỉnh, thành phố trực thuộc trung ương phải được thực hiện trước ngày 01 tháng 10 năm sau.</w:t>
      </w:r>
      <w:r w:rsidRPr="00E203AD">
        <w:rPr>
          <w:rFonts w:ascii="Arial" w:eastAsia="Times New Roman" w:hAnsi="Arial" w:cs="Arial"/>
          <w:color w:val="2E2E2E"/>
          <w:sz w:val="27"/>
          <w:szCs w:val="27"/>
          <w:lang w:eastAsia="vi-VN"/>
        </w:rPr>
        <w:br/>
      </w:r>
      <w:r w:rsidRPr="00E203AD">
        <w:rPr>
          <w:rFonts w:ascii="Arial" w:eastAsia="Times New Roman" w:hAnsi="Arial" w:cs="Arial"/>
          <w:color w:val="2E2E2E"/>
          <w:sz w:val="27"/>
          <w:szCs w:val="27"/>
          <w:lang w:eastAsia="vi-VN"/>
        </w:rPr>
        <w:lastRenderedPageBreak/>
        <w:t>3. Trong thời hạn 40 ngày, kể từ ngày nhận đủ hồ sơ đề nghị thanh toán của người tham gia bảo hiểm y tế khám bệnh, chữa bệnh theo quy định tại khoản 2 Điều 31 của Luật này, tổ chức bảo hiểm y tế phải thanh toán chi phí khám bệnh, chữa bệnh trực tiếp cho các đối tượng này.”</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22. Sửa đổi, bổ sung </w:t>
      </w:r>
      <w:hyperlink r:id="rId41" w:history="1">
        <w:r w:rsidRPr="00E203AD">
          <w:rPr>
            <w:rFonts w:ascii="Arial" w:eastAsia="Times New Roman" w:hAnsi="Arial" w:cs="Arial"/>
            <w:color w:val="0000FF"/>
            <w:sz w:val="27"/>
            <w:szCs w:val="27"/>
            <w:u w:val="single"/>
            <w:lang w:eastAsia="vi-VN"/>
          </w:rPr>
          <w:t>Khoản 1</w:t>
        </w:r>
      </w:hyperlink>
      <w:r w:rsidRPr="00E203AD">
        <w:rPr>
          <w:rFonts w:ascii="Arial" w:eastAsia="Times New Roman" w:hAnsi="Arial" w:cs="Arial"/>
          <w:color w:val="2E2E2E"/>
          <w:sz w:val="27"/>
          <w:szCs w:val="27"/>
          <w:lang w:eastAsia="vi-VN"/>
        </w:rPr>
        <w:t>; bổ sung khoản 3 </w:t>
      </w:r>
      <w:hyperlink r:id="rId42" w:history="1">
        <w:r w:rsidRPr="00E203AD">
          <w:rPr>
            <w:rFonts w:ascii="Arial" w:eastAsia="Times New Roman" w:hAnsi="Arial" w:cs="Arial"/>
            <w:color w:val="0000FF"/>
            <w:sz w:val="27"/>
            <w:szCs w:val="27"/>
            <w:u w:val="single"/>
            <w:lang w:eastAsia="vi-VN"/>
          </w:rPr>
          <w:t>Điều 34</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 Quỹ bảo hiểm y tế được quản lý tập trung, thống nhất, công khai, minh bạch và có sự phân cấp quản lý trong hệ thống tổ chức bảo hiểm y tế.</w:t>
      </w:r>
      <w:r w:rsidRPr="00E203AD">
        <w:rPr>
          <w:rFonts w:ascii="Arial" w:eastAsia="Times New Roman" w:hAnsi="Arial" w:cs="Arial"/>
          <w:color w:val="2E2E2E"/>
          <w:sz w:val="27"/>
          <w:szCs w:val="27"/>
          <w:lang w:eastAsia="vi-VN"/>
        </w:rPr>
        <w:br/>
        <w:t>Hội đồng quản lý bảo hiểm xã hội Việt Nam theo quy định của Luật bảo hiểm xã hội chịu trách nhiệm quản lý quỹ bảo hiểm y tế và tư vấn chính sách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“3. Hằng năm, Chính phủ báo cáo trước Quốc hội về quản lý và sử dụng quỹ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23. Sửa đổi, bổ sung </w:t>
      </w:r>
      <w:hyperlink r:id="rId43" w:history="1">
        <w:r w:rsidRPr="00E203AD">
          <w:rPr>
            <w:rFonts w:ascii="Arial" w:eastAsia="Times New Roman" w:hAnsi="Arial" w:cs="Arial"/>
            <w:color w:val="0000FF"/>
            <w:sz w:val="27"/>
            <w:szCs w:val="27"/>
            <w:u w:val="single"/>
            <w:lang w:eastAsia="vi-VN"/>
          </w:rPr>
          <w:t>Điều 35 </w:t>
        </w:r>
      </w:hyperlink>
      <w:r w:rsidRPr="00E203AD">
        <w:rPr>
          <w:rFonts w:ascii="Arial" w:eastAsia="Times New Roman" w:hAnsi="Arial" w:cs="Arial"/>
          <w:color w:val="2E2E2E"/>
          <w:sz w:val="27"/>
          <w:szCs w:val="27"/>
          <w:lang w:eastAsia="vi-VN"/>
        </w:rPr>
        <w:t>như sau:</w:t>
      </w:r>
      <w:r w:rsidRPr="00E203AD">
        <w:rPr>
          <w:rFonts w:ascii="Arial" w:eastAsia="Times New Roman" w:hAnsi="Arial" w:cs="Arial"/>
          <w:color w:val="2E2E2E"/>
          <w:sz w:val="27"/>
          <w:szCs w:val="27"/>
          <w:lang w:eastAsia="vi-VN"/>
        </w:rPr>
        <w:br/>
        <w:t>“Điều 35. Phân bổ và sử dụng quỹ bảo hiểm y tế</w:t>
      </w:r>
      <w:r w:rsidRPr="00E203AD">
        <w:rPr>
          <w:rFonts w:ascii="Arial" w:eastAsia="Times New Roman" w:hAnsi="Arial" w:cs="Arial"/>
          <w:color w:val="2E2E2E"/>
          <w:sz w:val="27"/>
          <w:szCs w:val="27"/>
          <w:lang w:eastAsia="vi-VN"/>
        </w:rPr>
        <w:br/>
        <w:t>1. Quỹ bảo hiểm y tế được phân bổ và sử dụng như sau:</w:t>
      </w:r>
      <w:r w:rsidRPr="00E203AD">
        <w:rPr>
          <w:rFonts w:ascii="Arial" w:eastAsia="Times New Roman" w:hAnsi="Arial" w:cs="Arial"/>
          <w:color w:val="2E2E2E"/>
          <w:sz w:val="27"/>
          <w:szCs w:val="27"/>
          <w:lang w:eastAsia="vi-VN"/>
        </w:rPr>
        <w:br/>
        <w:t>a) 90% số tiền đóng bảo hiểm y tế dành cho khám bệnh, chữa bệnh;</w:t>
      </w:r>
      <w:r w:rsidRPr="00E203AD">
        <w:rPr>
          <w:rFonts w:ascii="Arial" w:eastAsia="Times New Roman" w:hAnsi="Arial" w:cs="Arial"/>
          <w:color w:val="2E2E2E"/>
          <w:sz w:val="27"/>
          <w:szCs w:val="27"/>
          <w:lang w:eastAsia="vi-VN"/>
        </w:rPr>
        <w:br/>
        <w:t>b) 10% số tiền đóng bảo hiểm y tế dành cho quỹ dự phòng, chi phí quản lý quỹ bảo hiểm y tế, trong đó dành tối thiểu 5% số tiền đóng bảo hiểm y tế cho quỹ dự phòng.</w:t>
      </w:r>
      <w:r w:rsidRPr="00E203AD">
        <w:rPr>
          <w:rFonts w:ascii="Arial" w:eastAsia="Times New Roman" w:hAnsi="Arial" w:cs="Arial"/>
          <w:color w:val="2E2E2E"/>
          <w:sz w:val="27"/>
          <w:szCs w:val="27"/>
          <w:lang w:eastAsia="vi-VN"/>
        </w:rPr>
        <w:br/>
        <w:t>2. Số tiền tạm thời nhàn rỗi của quỹ bảo hiểm y tế được sử dụng để đầu tư theo các hình thức quy định của Luật bảo hiểm xã hội. Hội đồng quản lý bảo hiểm xã hội Việt Nam quyết định và chịu trách nhiệm trước Chính phủ về hình thức và cơ cấu đầu tư của quỹ bảo hiểm y tế trên cơ sở đề nghị của Bảo hiểm xã hội Việt Nam.</w:t>
      </w:r>
      <w:r w:rsidRPr="00E203AD">
        <w:rPr>
          <w:rFonts w:ascii="Arial" w:eastAsia="Times New Roman" w:hAnsi="Arial" w:cs="Arial"/>
          <w:color w:val="2E2E2E"/>
          <w:sz w:val="27"/>
          <w:szCs w:val="27"/>
          <w:lang w:eastAsia="vi-VN"/>
        </w:rPr>
        <w:br/>
        <w:t>3. Trường hợp tỉnh, thành phố trực thuộc trung ương có số thu bảo hiểm y tế dành cho khám bệnh, chữa bệnh lớn hơn số chi khám bệnh, chữa bệnh trong năm, sau khi được Bảo hiểm xã hội Việt Nam thẩm định quyết toán thì phần kinh phí chưa sử dụng hết được phân bổ theo lộ trình như sau:</w:t>
      </w:r>
      <w:r w:rsidRPr="00E203AD">
        <w:rPr>
          <w:rFonts w:ascii="Arial" w:eastAsia="Times New Roman" w:hAnsi="Arial" w:cs="Arial"/>
          <w:color w:val="2E2E2E"/>
          <w:sz w:val="27"/>
          <w:szCs w:val="27"/>
          <w:lang w:eastAsia="vi-VN"/>
        </w:rPr>
        <w:br/>
        <w:t>a) Từ ngày Luật này có hiệu lực đến hết ngày 31 tháng 12 năm 2020 thì 80% chuyển về quỹ dự phòng, 20% chuyển về địa phương để sử dụng theo thứ tự ưu tiên sau đây:</w:t>
      </w:r>
      <w:r w:rsidRPr="00E203AD">
        <w:rPr>
          <w:rFonts w:ascii="Arial" w:eastAsia="Times New Roman" w:hAnsi="Arial" w:cs="Arial"/>
          <w:color w:val="2E2E2E"/>
          <w:sz w:val="27"/>
          <w:szCs w:val="27"/>
          <w:lang w:eastAsia="vi-VN"/>
        </w:rPr>
        <w:br/>
        <w:t>Hỗ trợ quỹ khám bệnh, chữa bệnh cho người nghèo; hỗ trợ mức đóng bảo hiểm y tế cho một số nhóm đối tượng phù hợp với điều kiện kinh tế - xã hội của địa phương; mua trang thiết bị y tế phù hợp với năng lực, trình độ của cán bộ y tế; mua phương tiện vận chuyển người bệnh ở tuyến huyện.</w:t>
      </w:r>
      <w:r w:rsidRPr="00E203AD">
        <w:rPr>
          <w:rFonts w:ascii="Arial" w:eastAsia="Times New Roman" w:hAnsi="Arial" w:cs="Arial"/>
          <w:color w:val="2E2E2E"/>
          <w:sz w:val="27"/>
          <w:szCs w:val="27"/>
          <w:lang w:eastAsia="vi-VN"/>
        </w:rPr>
        <w:br/>
        <w:t>Trong thời hạn 1 tháng, kể từ ngày Bảo hiểm xã hội Việt Nam thẩm định quyết toán, Bảo hiểm xã hội Việt Nam phải chuyển 20% phần kinh phí chưa sử dụng hết về cho địa phương.</w:t>
      </w:r>
      <w:r w:rsidRPr="00E203AD">
        <w:rPr>
          <w:rFonts w:ascii="Arial" w:eastAsia="Times New Roman" w:hAnsi="Arial" w:cs="Arial"/>
          <w:color w:val="2E2E2E"/>
          <w:sz w:val="27"/>
          <w:szCs w:val="27"/>
          <w:lang w:eastAsia="vi-VN"/>
        </w:rPr>
        <w:br/>
        <w:t xml:space="preserve">Trong thời hạn 12 tháng, kể từ ngày Bảo hiểm xã hội Việt Nam thẩm </w:t>
      </w:r>
      <w:r w:rsidRPr="00E203AD">
        <w:rPr>
          <w:rFonts w:ascii="Arial" w:eastAsia="Times New Roman" w:hAnsi="Arial" w:cs="Arial"/>
          <w:color w:val="2E2E2E"/>
          <w:sz w:val="27"/>
          <w:szCs w:val="27"/>
          <w:lang w:eastAsia="vi-VN"/>
        </w:rPr>
        <w:lastRenderedPageBreak/>
        <w:t>định quyết toán, phần kinh phí chưa sử dụng hết được chuyển về quỹ dự phòng;</w:t>
      </w:r>
      <w:r w:rsidRPr="00E203AD">
        <w:rPr>
          <w:rFonts w:ascii="Arial" w:eastAsia="Times New Roman" w:hAnsi="Arial" w:cs="Arial"/>
          <w:color w:val="2E2E2E"/>
          <w:sz w:val="27"/>
          <w:szCs w:val="27"/>
          <w:lang w:eastAsia="vi-VN"/>
        </w:rPr>
        <w:br/>
        <w:t>b) Từ ngày 01 tháng 01 năm 2021, phần kinh phí chưa sử dụng hết được hạch toán toàn bộ vào quỹ dự phòng để điều tiết chung.</w:t>
      </w:r>
      <w:r w:rsidRPr="00E203AD">
        <w:rPr>
          <w:rFonts w:ascii="Arial" w:eastAsia="Times New Roman" w:hAnsi="Arial" w:cs="Arial"/>
          <w:color w:val="2E2E2E"/>
          <w:sz w:val="27"/>
          <w:szCs w:val="27"/>
          <w:lang w:eastAsia="vi-VN"/>
        </w:rPr>
        <w:br/>
        <w:t>4. Trường hợp tỉnh, thành phố trực thuộc trung ương có số thu bảo hiểm y tế dành cho khám bệnh, chữa bệnh nhỏ hơn số chi khám bệnh, chữa bệnh trong năm, sau khi thẩm định quyết toán, Bảo hiểm xã hội Việt Nam có trách nhiệm bổ sung toàn bộ phần kinh phí chênh lệch này từ nguồn quỹ dự phòng.</w:t>
      </w:r>
      <w:r w:rsidRPr="00E203AD">
        <w:rPr>
          <w:rFonts w:ascii="Arial" w:eastAsia="Times New Roman" w:hAnsi="Arial" w:cs="Arial"/>
          <w:color w:val="2E2E2E"/>
          <w:sz w:val="27"/>
          <w:szCs w:val="27"/>
          <w:lang w:eastAsia="vi-VN"/>
        </w:rPr>
        <w:br/>
        <w:t>5. Chính phủ quy định chi tiết khoản 1 Điều này.”</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24. Sửa đổi, bổ sung </w:t>
      </w:r>
      <w:hyperlink r:id="rId44" w:history="1">
        <w:r w:rsidRPr="00E203AD">
          <w:rPr>
            <w:rFonts w:ascii="Arial" w:eastAsia="Times New Roman" w:hAnsi="Arial" w:cs="Arial"/>
            <w:color w:val="0000FF"/>
            <w:sz w:val="27"/>
            <w:szCs w:val="27"/>
            <w:u w:val="single"/>
            <w:lang w:eastAsia="vi-VN"/>
          </w:rPr>
          <w:t>Khoản 2 Điều 36</w:t>
        </w:r>
      </w:hyperlink>
      <w:r w:rsidRPr="00E203AD">
        <w:rPr>
          <w:rFonts w:ascii="Arial" w:eastAsia="Times New Roman" w:hAnsi="Arial" w:cs="Arial"/>
          <w:color w:val="2E2E2E"/>
          <w:sz w:val="27"/>
          <w:szCs w:val="27"/>
          <w:lang w:eastAsia="vi-VN"/>
        </w:rPr>
        <w:t> như sau:</w:t>
      </w:r>
      <w:r w:rsidRPr="00E203AD">
        <w:rPr>
          <w:rFonts w:ascii="Arial" w:eastAsia="Times New Roman" w:hAnsi="Arial" w:cs="Arial"/>
          <w:color w:val="2E2E2E"/>
          <w:sz w:val="27"/>
          <w:szCs w:val="27"/>
          <w:lang w:eastAsia="vi-VN"/>
        </w:rPr>
        <w:br/>
        <w:t>“2. Được đóng bảo hiểm y tế theo hộ gia đình tại đại lý bảo hiểm y tế trong phạm vi cả nước; được lựa chọn cơ sở khám bệnh, chữa bệnh bảo hiểm y tế ban đầu theo quy định tại khoản 1 Điều 26 của Luật này.”</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25. Sửa đổi, bổ sung </w:t>
      </w:r>
      <w:hyperlink r:id="rId45" w:history="1">
        <w:r w:rsidRPr="00E203AD">
          <w:rPr>
            <w:rFonts w:ascii="Arial" w:eastAsia="Times New Roman" w:hAnsi="Arial" w:cs="Arial"/>
            <w:color w:val="0000FF"/>
            <w:sz w:val="27"/>
            <w:szCs w:val="27"/>
            <w:u w:val="single"/>
            <w:lang w:eastAsia="vi-VN"/>
          </w:rPr>
          <w:t>Khoản 2</w:t>
        </w:r>
      </w:hyperlink>
      <w:r w:rsidRPr="00E203AD">
        <w:rPr>
          <w:rFonts w:ascii="Arial" w:eastAsia="Times New Roman" w:hAnsi="Arial" w:cs="Arial"/>
          <w:color w:val="2E2E2E"/>
          <w:sz w:val="27"/>
          <w:szCs w:val="27"/>
          <w:lang w:eastAsia="vi-VN"/>
        </w:rPr>
        <w:t> và </w:t>
      </w:r>
      <w:hyperlink r:id="rId46" w:history="1">
        <w:r w:rsidRPr="00E203AD">
          <w:rPr>
            <w:rFonts w:ascii="Arial" w:eastAsia="Times New Roman" w:hAnsi="Arial" w:cs="Arial"/>
            <w:color w:val="0000FF"/>
            <w:sz w:val="27"/>
            <w:szCs w:val="27"/>
            <w:u w:val="single"/>
            <w:lang w:eastAsia="vi-VN"/>
          </w:rPr>
          <w:t>Khoản 10 Điều 41</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 Tổ chức để đối tượng quy định tại khoản 5 Điều 12 của Luật này đóng bảo hiểm y tế theo hộ gia đình thuận lợi tại đại lý bảo hiểm y tế. Hướng dẫn hồ sơ, thủ tục, nơi đăng ký tham gia bảo hiểm y tế và tổ chức thực hiện chế độ bảo hiểm y tế, bảo đảm nhanh chóng, đơn giản và thuận tiện cho người tham gia bảo hiểm y tế. Rà soát, tổng hợp, xác nhận danh sách tham gia bảo hiểm y tế để tránh cấp trùng thẻ bảo hiểm y tế của các đối tượng quy định tại Điều 12 của Luật này, trừ các đối tượng do Bộ Quốc phòng và Bộ Công an quản lý.”</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“10. Lưu trữ hồ sơ, số liệu về bảo hiểm y tế theo quy định của pháp luật; xác định thời gian tham gia bảo hiểm y tế để đảm bảo quyền lợi cho người tham gia bảo hiểm y tế; ứng dụng công nghệ thông tin trong quản lý bảo hiểm y tế, xây dựng cơ sở dữ liệu quốc gia về bảo hiểm y tế.” </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26. Sửa đổi, bổ sung </w:t>
      </w:r>
      <w:hyperlink r:id="rId47" w:history="1">
        <w:r w:rsidRPr="00E203AD">
          <w:rPr>
            <w:rFonts w:ascii="Arial" w:eastAsia="Times New Roman" w:hAnsi="Arial" w:cs="Arial"/>
            <w:color w:val="0000FF"/>
            <w:sz w:val="27"/>
            <w:szCs w:val="27"/>
            <w:u w:val="single"/>
            <w:lang w:eastAsia="vi-VN"/>
          </w:rPr>
          <w:t>Khoản 2</w:t>
        </w:r>
      </w:hyperlink>
      <w:r w:rsidRPr="00E203AD">
        <w:rPr>
          <w:rFonts w:ascii="Arial" w:eastAsia="Times New Roman" w:hAnsi="Arial" w:cs="Arial"/>
          <w:color w:val="2E2E2E"/>
          <w:sz w:val="27"/>
          <w:szCs w:val="27"/>
          <w:lang w:eastAsia="vi-VN"/>
        </w:rPr>
        <w:t>; bổ sung khoản 7 và khoản 8 </w:t>
      </w:r>
      <w:hyperlink r:id="rId48" w:history="1">
        <w:r w:rsidRPr="00E203AD">
          <w:rPr>
            <w:rFonts w:ascii="Arial" w:eastAsia="Times New Roman" w:hAnsi="Arial" w:cs="Arial"/>
            <w:color w:val="0000FF"/>
            <w:sz w:val="27"/>
            <w:szCs w:val="27"/>
            <w:u w:val="single"/>
            <w:lang w:eastAsia="vi-VN"/>
          </w:rPr>
          <w:t>Điều 43</w:t>
        </w:r>
      </w:hyperlink>
      <w:r w:rsidRPr="00E203AD">
        <w:rPr>
          <w:rFonts w:ascii="Arial" w:eastAsia="Times New Roman" w:hAnsi="Arial" w:cs="Arial"/>
          <w:color w:val="2E2E2E"/>
          <w:sz w:val="27"/>
          <w:szCs w:val="27"/>
          <w:lang w:eastAsia="vi-VN"/>
        </w:rPr>
        <w:t> như sau: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 Cung cấp hồ sơ bệnh án, tài liệu liên quan đến khám bệnh, chữa bệnh và thanh toán chi phí khám bệnh, chữa bệnh của người tham gia bảo hiểm y tế theo yêu cầu của tổ chức bảo hiểm y tế và cơ quan nhà nước có thẩm quyền; đối với hồ sơ đề nghị thanh toán trực tiếp, trong thời hạn 5 ngày làm việc, kể từ ngày nhận được yêu cầu của tổ chức bảo hiểm y tế, cơ sở khám bệnh, chữa bệnh bảo hiểm y tế có trách nhiệm cung cấp hồ sơ bệnh án, tài liệu liên quan đến khám bệnh, chữa bệnh của người tham gia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“7. Lập bảng kê chi phí khám bệnh, chữa bệnh bảo hiểm y tế và chịu trách nhiệm trước pháp luật về tính hợp pháp, chính xác của bảng kê này.”</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lastRenderedPageBreak/>
        <w:t>8. Cung cấp bảng kê chi phí khám bệnh, chữa bệnh cho người tham gia bảo hiểm y tế khi có yêu cầu.”</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27. Sửa đổi, bổ sung </w:t>
      </w:r>
      <w:hyperlink r:id="rId49" w:history="1">
        <w:r w:rsidRPr="00E203AD">
          <w:rPr>
            <w:rFonts w:ascii="Arial" w:eastAsia="Times New Roman" w:hAnsi="Arial" w:cs="Arial"/>
            <w:color w:val="0000FF"/>
            <w:sz w:val="27"/>
            <w:szCs w:val="27"/>
            <w:u w:val="single"/>
            <w:lang w:eastAsia="vi-VN"/>
          </w:rPr>
          <w:t>Khoản 3 Điều 45</w:t>
        </w:r>
      </w:hyperlink>
      <w:r w:rsidRPr="00E203AD">
        <w:rPr>
          <w:rFonts w:ascii="Arial" w:eastAsia="Times New Roman" w:hAnsi="Arial" w:cs="Arial"/>
          <w:color w:val="2E2E2E"/>
          <w:sz w:val="27"/>
          <w:szCs w:val="27"/>
          <w:lang w:eastAsia="vi-VN"/>
        </w:rPr>
        <w:t> như sau:</w:t>
      </w:r>
      <w:r w:rsidRPr="00E203AD">
        <w:rPr>
          <w:rFonts w:ascii="Arial" w:eastAsia="Times New Roman" w:hAnsi="Arial" w:cs="Arial"/>
          <w:color w:val="2E2E2E"/>
          <w:sz w:val="27"/>
          <w:szCs w:val="27"/>
          <w:lang w:eastAsia="vi-VN"/>
        </w:rPr>
        <w:br/>
        <w:t>“3. Tham gia giám sát việc thi hành pháp luật về bảo hiểm y tế, đôn đốc người sử dụng lao động đóng bảo hiểm y tế cho người lao động và tham gia giải quyết các trường hợp trốn đóng, nợ đóng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28. Sửa đổi, bổ sung </w:t>
      </w:r>
      <w:hyperlink r:id="rId50" w:history="1">
        <w:r w:rsidRPr="00E203AD">
          <w:rPr>
            <w:rFonts w:ascii="Arial" w:eastAsia="Times New Roman" w:hAnsi="Arial" w:cs="Arial"/>
            <w:color w:val="0000FF"/>
            <w:sz w:val="27"/>
            <w:szCs w:val="27"/>
            <w:u w:val="single"/>
            <w:lang w:eastAsia="vi-VN"/>
          </w:rPr>
          <w:t>Điều 49 </w:t>
        </w:r>
      </w:hyperlink>
      <w:r w:rsidRPr="00E203AD">
        <w:rPr>
          <w:rFonts w:ascii="Arial" w:eastAsia="Times New Roman" w:hAnsi="Arial" w:cs="Arial"/>
          <w:color w:val="2E2E2E"/>
          <w:sz w:val="27"/>
          <w:szCs w:val="27"/>
          <w:lang w:eastAsia="vi-VN"/>
        </w:rPr>
        <w:t>như sau:</w:t>
      </w:r>
      <w:r w:rsidRPr="00E203AD">
        <w:rPr>
          <w:rFonts w:ascii="Arial" w:eastAsia="Times New Roman" w:hAnsi="Arial" w:cs="Arial"/>
          <w:color w:val="2E2E2E"/>
          <w:sz w:val="27"/>
          <w:szCs w:val="27"/>
          <w:lang w:eastAsia="vi-VN"/>
        </w:rPr>
        <w:br/>
        <w:t>“Điều 49. Xử lý vi phạm</w:t>
      </w:r>
      <w:r w:rsidRPr="00E203AD">
        <w:rPr>
          <w:rFonts w:ascii="Arial" w:eastAsia="Times New Roman" w:hAnsi="Arial" w:cs="Arial"/>
          <w:color w:val="2E2E2E"/>
          <w:sz w:val="27"/>
          <w:szCs w:val="27"/>
          <w:lang w:eastAsia="vi-VN"/>
        </w:rPr>
        <w:br/>
        <w:t>1. Người có hành vi vi phạm quy định của Luật này và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r w:rsidRPr="00E203AD">
        <w:rPr>
          <w:rFonts w:ascii="Arial" w:eastAsia="Times New Roman" w:hAnsi="Arial" w:cs="Arial"/>
          <w:color w:val="2E2E2E"/>
          <w:sz w:val="27"/>
          <w:szCs w:val="27"/>
          <w:lang w:eastAsia="vi-VN"/>
        </w:rPr>
        <w:br/>
        <w:t>2. Cơ quan, tổ chức có hành vi vi phạm quy định của Luật này và quy định khác của pháp luật có liên quan đến bảo hiểm y tế thì bị xử phạt vi phạm hành chính, nếu gây thiệt hại thì phải bồi thường theo quy định của pháp luật.</w:t>
      </w:r>
      <w:r w:rsidRPr="00E203AD">
        <w:rPr>
          <w:rFonts w:ascii="Arial" w:eastAsia="Times New Roman" w:hAnsi="Arial" w:cs="Arial"/>
          <w:color w:val="2E2E2E"/>
          <w:sz w:val="27"/>
          <w:szCs w:val="27"/>
          <w:lang w:eastAsia="vi-VN"/>
        </w:rPr>
        <w:br/>
        <w:t>3. Cơ quan, tổ chức, người sử dụng lao động có trách nhiệm đóng bảo hiểm y tế mà không đóng hoặc đóng không đầy đủ theo quy định của pháp luật thì sẽ bị xử lý như sau:</w:t>
      </w:r>
      <w:r w:rsidRPr="00E203AD">
        <w:rPr>
          <w:rFonts w:ascii="Arial" w:eastAsia="Times New Roman" w:hAnsi="Arial" w:cs="Arial"/>
          <w:color w:val="2E2E2E"/>
          <w:sz w:val="27"/>
          <w:szCs w:val="27"/>
          <w:lang w:eastAsia="vi-VN"/>
        </w:rPr>
        <w:br/>
        <w:t>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lao động có trách nhiệm đóng bảo hiểm y tế để nộp số tiền chưa đóng, chậm đóng và lãi của số tiền này vào tài khoản của quỹ bảo hiểm y tế;</w:t>
      </w:r>
      <w:r w:rsidRPr="00E203AD">
        <w:rPr>
          <w:rFonts w:ascii="Arial" w:eastAsia="Times New Roman" w:hAnsi="Arial" w:cs="Arial"/>
          <w:color w:val="2E2E2E"/>
          <w:sz w:val="27"/>
          <w:szCs w:val="27"/>
          <w:lang w:eastAsia="vi-VN"/>
        </w:rPr>
        <w:br/>
        <w:t>b) Phải hoàn trả toàn bộ chi phí cho người lao động trong phạm vi quyền lợi, mức hưởng bảo hiểm y tế mà người lao động đã chi trả trong thời gian chưa có thẻ bảo hiểm y tế.”</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b/>
          <w:bCs/>
          <w:color w:val="2E2E2E"/>
          <w:sz w:val="27"/>
          <w:szCs w:val="27"/>
          <w:lang w:eastAsia="vi-VN"/>
        </w:rPr>
        <w:t>Điều 2.</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1. Luật này có hiệu lực thi hành từ ngày 01 tháng 01 năm 2015.</w:t>
      </w:r>
    </w:p>
    <w:p w:rsidR="00E203AD" w:rsidRPr="00E203AD" w:rsidRDefault="00E203AD" w:rsidP="00E203AD">
      <w:pPr>
        <w:spacing w:after="120" w:line="240" w:lineRule="auto"/>
        <w:rPr>
          <w:rFonts w:ascii="Arial" w:eastAsia="Times New Roman" w:hAnsi="Arial" w:cs="Arial"/>
          <w:color w:val="2E2E2E"/>
          <w:sz w:val="27"/>
          <w:szCs w:val="27"/>
          <w:lang w:eastAsia="vi-VN"/>
        </w:rPr>
      </w:pPr>
      <w:r w:rsidRPr="00E203AD">
        <w:rPr>
          <w:rFonts w:ascii="Arial" w:eastAsia="Times New Roman" w:hAnsi="Arial" w:cs="Arial"/>
          <w:color w:val="2E2E2E"/>
          <w:sz w:val="27"/>
          <w:szCs w:val="27"/>
          <w:lang w:eastAsia="vi-VN"/>
        </w:rPr>
        <w:t>2. Chính phủ quy định chi tiết những điều, khoản được giao trong Luật.</w:t>
      </w:r>
    </w:p>
    <w:p w:rsidR="00E203AD" w:rsidRPr="00E203AD" w:rsidRDefault="00E203AD" w:rsidP="00E203AD">
      <w:pPr>
        <w:spacing w:before="100" w:beforeAutospacing="1" w:after="100" w:afterAutospacing="1" w:line="240" w:lineRule="auto"/>
        <w:ind w:firstLine="720"/>
        <w:jc w:val="both"/>
        <w:rPr>
          <w:rFonts w:ascii="Arial" w:eastAsia="Times New Roman" w:hAnsi="Arial" w:cs="Arial"/>
          <w:color w:val="222222"/>
          <w:sz w:val="27"/>
          <w:szCs w:val="27"/>
          <w:lang w:eastAsia="vi-VN"/>
        </w:rPr>
      </w:pPr>
      <w:r w:rsidRPr="00E203AD">
        <w:rPr>
          <w:rFonts w:ascii="Arial" w:eastAsia="Times New Roman" w:hAnsi="Arial" w:cs="Arial"/>
          <w:i/>
          <w:iCs/>
          <w:color w:val="222222"/>
          <w:sz w:val="20"/>
          <w:szCs w:val="20"/>
          <w:lang w:eastAsia="vi-VN"/>
        </w:rPr>
        <w:t>Luật này đã được Quốc hội nước Cộng hòa xã hội chủ nghĩa Việt Nam khóa XIII, kỳ họp thứ 7 thông qua ngày 13 tháng 6 năm 2014.</w:t>
      </w:r>
    </w:p>
    <w:tbl>
      <w:tblPr>
        <w:tblW w:w="5000" w:type="pct"/>
        <w:tblInd w:w="108" w:type="dxa"/>
        <w:tblCellMar>
          <w:left w:w="0" w:type="dxa"/>
          <w:right w:w="0" w:type="dxa"/>
        </w:tblCellMar>
        <w:tblLook w:val="04A0" w:firstRow="1" w:lastRow="0" w:firstColumn="1" w:lastColumn="0" w:noHBand="0" w:noVBand="1"/>
      </w:tblPr>
      <w:tblGrid>
        <w:gridCol w:w="3894"/>
        <w:gridCol w:w="4609"/>
      </w:tblGrid>
      <w:tr w:rsidR="00E203AD" w:rsidRPr="00E203AD" w:rsidTr="00E203AD">
        <w:tc>
          <w:tcPr>
            <w:tcW w:w="4320" w:type="dxa"/>
            <w:tcBorders>
              <w:top w:val="nil"/>
              <w:left w:val="nil"/>
              <w:bottom w:val="nil"/>
              <w:right w:val="nil"/>
            </w:tcBorders>
            <w:tcMar>
              <w:top w:w="0" w:type="dxa"/>
              <w:left w:w="108" w:type="dxa"/>
              <w:bottom w:w="0" w:type="dxa"/>
              <w:right w:w="108" w:type="dxa"/>
            </w:tcMar>
            <w:hideMark/>
          </w:tcPr>
          <w:p w:rsidR="00E203AD" w:rsidRPr="00E203AD" w:rsidRDefault="00E203AD" w:rsidP="00E203AD">
            <w:pPr>
              <w:spacing w:before="100" w:beforeAutospacing="1" w:after="100" w:afterAutospacing="1" w:line="240" w:lineRule="auto"/>
              <w:rPr>
                <w:rFonts w:eastAsia="Times New Roman" w:cs="Times New Roman"/>
                <w:color w:val="222222"/>
                <w:sz w:val="27"/>
                <w:szCs w:val="27"/>
                <w:lang w:eastAsia="vi-VN"/>
              </w:rPr>
            </w:pPr>
            <w:r w:rsidRPr="00E203AD">
              <w:rPr>
                <w:rFonts w:ascii="Arial" w:eastAsia="Times New Roman" w:hAnsi="Arial" w:cs="Arial"/>
                <w:color w:val="222222"/>
                <w:sz w:val="20"/>
                <w:szCs w:val="20"/>
                <w:lang w:eastAsia="vi-VN"/>
              </w:rPr>
              <w:t> </w:t>
            </w:r>
          </w:p>
        </w:tc>
        <w:tc>
          <w:tcPr>
            <w:tcW w:w="5040" w:type="dxa"/>
            <w:tcBorders>
              <w:top w:val="nil"/>
              <w:left w:val="nil"/>
              <w:bottom w:val="nil"/>
              <w:right w:val="nil"/>
            </w:tcBorders>
            <w:tcMar>
              <w:top w:w="0" w:type="dxa"/>
              <w:left w:w="108" w:type="dxa"/>
              <w:bottom w:w="0" w:type="dxa"/>
              <w:right w:w="108" w:type="dxa"/>
            </w:tcMar>
            <w:hideMark/>
          </w:tcPr>
          <w:p w:rsidR="00E203AD" w:rsidRPr="00E203AD" w:rsidRDefault="00E203AD" w:rsidP="00E203AD">
            <w:pPr>
              <w:spacing w:before="100" w:beforeAutospacing="1" w:after="100" w:afterAutospacing="1" w:line="240" w:lineRule="auto"/>
              <w:jc w:val="center"/>
              <w:rPr>
                <w:rFonts w:eastAsia="Times New Roman" w:cs="Times New Roman"/>
                <w:color w:val="222222"/>
                <w:sz w:val="27"/>
                <w:szCs w:val="27"/>
                <w:lang w:eastAsia="vi-VN"/>
              </w:rPr>
            </w:pPr>
            <w:r w:rsidRPr="00E203AD">
              <w:rPr>
                <w:rFonts w:ascii="Arial" w:eastAsia="Times New Roman" w:hAnsi="Arial" w:cs="Arial"/>
                <w:b/>
                <w:bCs/>
                <w:color w:val="222222"/>
                <w:sz w:val="20"/>
                <w:szCs w:val="20"/>
                <w:lang w:eastAsia="vi-VN"/>
              </w:rPr>
              <w:t>CHỦ TỊCH QUỐC HỘI</w:t>
            </w:r>
            <w:r w:rsidRPr="00E203AD">
              <w:rPr>
                <w:rFonts w:ascii="Arial" w:eastAsia="Times New Roman" w:hAnsi="Arial" w:cs="Arial"/>
                <w:b/>
                <w:bCs/>
                <w:color w:val="222222"/>
                <w:sz w:val="20"/>
                <w:szCs w:val="20"/>
                <w:lang w:eastAsia="vi-VN"/>
              </w:rPr>
              <w:br/>
            </w:r>
            <w:r w:rsidRPr="00E203AD">
              <w:rPr>
                <w:rFonts w:ascii="Arial" w:eastAsia="Times New Roman" w:hAnsi="Arial" w:cs="Arial"/>
                <w:b/>
                <w:bCs/>
                <w:color w:val="222222"/>
                <w:sz w:val="20"/>
                <w:szCs w:val="20"/>
                <w:lang w:eastAsia="vi-VN"/>
              </w:rPr>
              <w:br/>
            </w:r>
            <w:r w:rsidRPr="00E203AD">
              <w:rPr>
                <w:rFonts w:ascii="Arial" w:eastAsia="Times New Roman" w:hAnsi="Arial" w:cs="Arial"/>
                <w:b/>
                <w:bCs/>
                <w:color w:val="222222"/>
                <w:sz w:val="20"/>
                <w:szCs w:val="20"/>
                <w:lang w:eastAsia="vi-VN"/>
              </w:rPr>
              <w:br/>
            </w:r>
            <w:r w:rsidRPr="00E203AD">
              <w:rPr>
                <w:rFonts w:ascii="Arial" w:eastAsia="Times New Roman" w:hAnsi="Arial" w:cs="Arial"/>
                <w:b/>
                <w:bCs/>
                <w:color w:val="222222"/>
                <w:sz w:val="20"/>
                <w:szCs w:val="20"/>
                <w:lang w:eastAsia="vi-VN"/>
              </w:rPr>
              <w:br/>
            </w:r>
            <w:r w:rsidRPr="00E203AD">
              <w:rPr>
                <w:rFonts w:ascii="Arial" w:eastAsia="Times New Roman" w:hAnsi="Arial" w:cs="Arial"/>
                <w:b/>
                <w:bCs/>
                <w:color w:val="222222"/>
                <w:sz w:val="20"/>
                <w:szCs w:val="20"/>
                <w:lang w:eastAsia="vi-VN"/>
              </w:rPr>
              <w:br/>
              <w:t>Nguyễn Sinh Hùng</w:t>
            </w:r>
          </w:p>
        </w:tc>
      </w:tr>
    </w:tbl>
    <w:p w:rsidR="005C0106" w:rsidRDefault="005C0106">
      <w:bookmarkStart w:id="0" w:name="_GoBack"/>
      <w:bookmarkEnd w:id="0"/>
    </w:p>
    <w:sectPr w:rsidR="005C0106" w:rsidSect="006D37F8">
      <w:pgSz w:w="11906" w:h="16838" w:code="9"/>
      <w:pgMar w:top="1440" w:right="1418" w:bottom="1440" w:left="1418"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AD"/>
    <w:rsid w:val="0045552E"/>
    <w:rsid w:val="005C0106"/>
    <w:rsid w:val="006D37F8"/>
    <w:rsid w:val="009D1CA7"/>
    <w:rsid w:val="00A54D86"/>
    <w:rsid w:val="00A72F9B"/>
    <w:rsid w:val="00A76C4A"/>
    <w:rsid w:val="00D222A0"/>
    <w:rsid w:val="00E203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8CD14-6379-4E42-B5D5-E8515CE2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0480">
      <w:bodyDiv w:val="1"/>
      <w:marLeft w:val="0"/>
      <w:marRight w:val="0"/>
      <w:marTop w:val="0"/>
      <w:marBottom w:val="0"/>
      <w:divBdr>
        <w:top w:val="none" w:sz="0" w:space="0" w:color="auto"/>
        <w:left w:val="none" w:sz="0" w:space="0" w:color="auto"/>
        <w:bottom w:val="none" w:sz="0" w:space="0" w:color="auto"/>
        <w:right w:val="none" w:sz="0" w:space="0" w:color="auto"/>
      </w:divBdr>
      <w:divsChild>
        <w:div w:id="306206020">
          <w:marLeft w:val="0"/>
          <w:marRight w:val="0"/>
          <w:marTop w:val="120"/>
          <w:marBottom w:val="120"/>
          <w:divBdr>
            <w:top w:val="none" w:sz="0" w:space="0" w:color="auto"/>
            <w:left w:val="none" w:sz="0" w:space="0" w:color="auto"/>
            <w:bottom w:val="none" w:sz="0" w:space="0" w:color="auto"/>
            <w:right w:val="none" w:sz="0" w:space="0" w:color="auto"/>
          </w:divBdr>
          <w:divsChild>
            <w:div w:id="979067521">
              <w:marLeft w:val="0"/>
              <w:marRight w:val="0"/>
              <w:marTop w:val="0"/>
              <w:marBottom w:val="0"/>
              <w:divBdr>
                <w:top w:val="none" w:sz="0" w:space="0" w:color="auto"/>
                <w:left w:val="none" w:sz="0" w:space="0" w:color="auto"/>
                <w:bottom w:val="none" w:sz="0" w:space="0" w:color="auto"/>
                <w:right w:val="none" w:sz="0" w:space="0" w:color="auto"/>
              </w:divBdr>
            </w:div>
          </w:divsChild>
        </w:div>
        <w:div w:id="1050495136">
          <w:marLeft w:val="0"/>
          <w:marRight w:val="0"/>
          <w:marTop w:val="120"/>
          <w:marBottom w:val="120"/>
          <w:divBdr>
            <w:top w:val="none" w:sz="0" w:space="0" w:color="auto"/>
            <w:left w:val="none" w:sz="0" w:space="0" w:color="auto"/>
            <w:bottom w:val="none" w:sz="0" w:space="0" w:color="auto"/>
            <w:right w:val="none" w:sz="0" w:space="0" w:color="auto"/>
          </w:divBdr>
        </w:div>
        <w:div w:id="1506897604">
          <w:marLeft w:val="0"/>
          <w:marRight w:val="0"/>
          <w:marTop w:val="120"/>
          <w:marBottom w:val="120"/>
          <w:divBdr>
            <w:top w:val="none" w:sz="0" w:space="0" w:color="auto"/>
            <w:left w:val="none" w:sz="0" w:space="0" w:color="auto"/>
            <w:bottom w:val="none" w:sz="0" w:space="0" w:color="auto"/>
            <w:right w:val="none" w:sz="0" w:space="0" w:color="auto"/>
          </w:divBdr>
          <w:divsChild>
            <w:div w:id="960917234">
              <w:marLeft w:val="0"/>
              <w:marRight w:val="0"/>
              <w:marTop w:val="120"/>
              <w:marBottom w:val="120"/>
              <w:divBdr>
                <w:top w:val="none" w:sz="0" w:space="0" w:color="auto"/>
                <w:left w:val="none" w:sz="0" w:space="0" w:color="auto"/>
                <w:bottom w:val="none" w:sz="0" w:space="0" w:color="auto"/>
                <w:right w:val="none" w:sz="0" w:space="0" w:color="auto"/>
              </w:divBdr>
            </w:div>
          </w:divsChild>
        </w:div>
        <w:div w:id="343939572">
          <w:marLeft w:val="0"/>
          <w:marRight w:val="0"/>
          <w:marTop w:val="120"/>
          <w:marBottom w:val="120"/>
          <w:divBdr>
            <w:top w:val="none" w:sz="0" w:space="0" w:color="auto"/>
            <w:left w:val="none" w:sz="0" w:space="0" w:color="auto"/>
            <w:bottom w:val="none" w:sz="0" w:space="0" w:color="auto"/>
            <w:right w:val="none" w:sz="0" w:space="0" w:color="auto"/>
          </w:divBdr>
          <w:divsChild>
            <w:div w:id="861777">
              <w:marLeft w:val="0"/>
              <w:marRight w:val="0"/>
              <w:marTop w:val="120"/>
              <w:marBottom w:val="120"/>
              <w:divBdr>
                <w:top w:val="none" w:sz="0" w:space="0" w:color="auto"/>
                <w:left w:val="none" w:sz="0" w:space="0" w:color="auto"/>
                <w:bottom w:val="none" w:sz="0" w:space="0" w:color="auto"/>
                <w:right w:val="none" w:sz="0" w:space="0" w:color="auto"/>
              </w:divBdr>
            </w:div>
          </w:divsChild>
        </w:div>
        <w:div w:id="802115186">
          <w:marLeft w:val="0"/>
          <w:marRight w:val="0"/>
          <w:marTop w:val="120"/>
          <w:marBottom w:val="120"/>
          <w:divBdr>
            <w:top w:val="none" w:sz="0" w:space="0" w:color="auto"/>
            <w:left w:val="none" w:sz="0" w:space="0" w:color="auto"/>
            <w:bottom w:val="none" w:sz="0" w:space="0" w:color="auto"/>
            <w:right w:val="none" w:sz="0" w:space="0" w:color="auto"/>
          </w:divBdr>
          <w:divsChild>
            <w:div w:id="1110276653">
              <w:marLeft w:val="0"/>
              <w:marRight w:val="0"/>
              <w:marTop w:val="120"/>
              <w:marBottom w:val="120"/>
              <w:divBdr>
                <w:top w:val="none" w:sz="0" w:space="0" w:color="auto"/>
                <w:left w:val="none" w:sz="0" w:space="0" w:color="auto"/>
                <w:bottom w:val="none" w:sz="0" w:space="0" w:color="auto"/>
                <w:right w:val="none" w:sz="0" w:space="0" w:color="auto"/>
              </w:divBdr>
            </w:div>
          </w:divsChild>
        </w:div>
        <w:div w:id="168183882">
          <w:marLeft w:val="0"/>
          <w:marRight w:val="0"/>
          <w:marTop w:val="120"/>
          <w:marBottom w:val="120"/>
          <w:divBdr>
            <w:top w:val="none" w:sz="0" w:space="0" w:color="auto"/>
            <w:left w:val="none" w:sz="0" w:space="0" w:color="auto"/>
            <w:bottom w:val="none" w:sz="0" w:space="0" w:color="auto"/>
            <w:right w:val="none" w:sz="0" w:space="0" w:color="auto"/>
          </w:divBdr>
          <w:divsChild>
            <w:div w:id="2008484685">
              <w:marLeft w:val="0"/>
              <w:marRight w:val="0"/>
              <w:marTop w:val="120"/>
              <w:marBottom w:val="120"/>
              <w:divBdr>
                <w:top w:val="none" w:sz="0" w:space="0" w:color="auto"/>
                <w:left w:val="none" w:sz="0" w:space="0" w:color="auto"/>
                <w:bottom w:val="none" w:sz="0" w:space="0" w:color="auto"/>
                <w:right w:val="none" w:sz="0" w:space="0" w:color="auto"/>
              </w:divBdr>
            </w:div>
          </w:divsChild>
        </w:div>
        <w:div w:id="28263227">
          <w:marLeft w:val="0"/>
          <w:marRight w:val="0"/>
          <w:marTop w:val="120"/>
          <w:marBottom w:val="120"/>
          <w:divBdr>
            <w:top w:val="none" w:sz="0" w:space="0" w:color="auto"/>
            <w:left w:val="none" w:sz="0" w:space="0" w:color="auto"/>
            <w:bottom w:val="none" w:sz="0" w:space="0" w:color="auto"/>
            <w:right w:val="none" w:sz="0" w:space="0" w:color="auto"/>
          </w:divBdr>
          <w:divsChild>
            <w:div w:id="1779328484">
              <w:marLeft w:val="0"/>
              <w:marRight w:val="0"/>
              <w:marTop w:val="120"/>
              <w:marBottom w:val="120"/>
              <w:divBdr>
                <w:top w:val="none" w:sz="0" w:space="0" w:color="auto"/>
                <w:left w:val="none" w:sz="0" w:space="0" w:color="auto"/>
                <w:bottom w:val="none" w:sz="0" w:space="0" w:color="auto"/>
                <w:right w:val="none" w:sz="0" w:space="0" w:color="auto"/>
              </w:divBdr>
            </w:div>
          </w:divsChild>
        </w:div>
        <w:div w:id="1533805631">
          <w:marLeft w:val="0"/>
          <w:marRight w:val="0"/>
          <w:marTop w:val="120"/>
          <w:marBottom w:val="120"/>
          <w:divBdr>
            <w:top w:val="none" w:sz="0" w:space="0" w:color="auto"/>
            <w:left w:val="none" w:sz="0" w:space="0" w:color="auto"/>
            <w:bottom w:val="none" w:sz="0" w:space="0" w:color="auto"/>
            <w:right w:val="none" w:sz="0" w:space="0" w:color="auto"/>
          </w:divBdr>
        </w:div>
        <w:div w:id="1824202589">
          <w:marLeft w:val="0"/>
          <w:marRight w:val="0"/>
          <w:marTop w:val="120"/>
          <w:marBottom w:val="120"/>
          <w:divBdr>
            <w:top w:val="none" w:sz="0" w:space="0" w:color="auto"/>
            <w:left w:val="none" w:sz="0" w:space="0" w:color="auto"/>
            <w:bottom w:val="none" w:sz="0" w:space="0" w:color="auto"/>
            <w:right w:val="none" w:sz="0" w:space="0" w:color="auto"/>
          </w:divBdr>
        </w:div>
        <w:div w:id="1125925190">
          <w:marLeft w:val="0"/>
          <w:marRight w:val="0"/>
          <w:marTop w:val="120"/>
          <w:marBottom w:val="120"/>
          <w:divBdr>
            <w:top w:val="none" w:sz="0" w:space="0" w:color="auto"/>
            <w:left w:val="none" w:sz="0" w:space="0" w:color="auto"/>
            <w:bottom w:val="none" w:sz="0" w:space="0" w:color="auto"/>
            <w:right w:val="none" w:sz="0" w:space="0" w:color="auto"/>
          </w:divBdr>
        </w:div>
        <w:div w:id="825784964">
          <w:marLeft w:val="0"/>
          <w:marRight w:val="0"/>
          <w:marTop w:val="120"/>
          <w:marBottom w:val="120"/>
          <w:divBdr>
            <w:top w:val="none" w:sz="0" w:space="0" w:color="auto"/>
            <w:left w:val="none" w:sz="0" w:space="0" w:color="auto"/>
            <w:bottom w:val="none" w:sz="0" w:space="0" w:color="auto"/>
            <w:right w:val="none" w:sz="0" w:space="0" w:color="auto"/>
          </w:divBdr>
        </w:div>
        <w:div w:id="1113666495">
          <w:marLeft w:val="0"/>
          <w:marRight w:val="0"/>
          <w:marTop w:val="120"/>
          <w:marBottom w:val="120"/>
          <w:divBdr>
            <w:top w:val="none" w:sz="0" w:space="0" w:color="auto"/>
            <w:left w:val="none" w:sz="0" w:space="0" w:color="auto"/>
            <w:bottom w:val="none" w:sz="0" w:space="0" w:color="auto"/>
            <w:right w:val="none" w:sz="0" w:space="0" w:color="auto"/>
          </w:divBdr>
        </w:div>
        <w:div w:id="956789716">
          <w:marLeft w:val="0"/>
          <w:marRight w:val="0"/>
          <w:marTop w:val="120"/>
          <w:marBottom w:val="120"/>
          <w:divBdr>
            <w:top w:val="none" w:sz="0" w:space="0" w:color="auto"/>
            <w:left w:val="none" w:sz="0" w:space="0" w:color="auto"/>
            <w:bottom w:val="none" w:sz="0" w:space="0" w:color="auto"/>
            <w:right w:val="none" w:sz="0" w:space="0" w:color="auto"/>
          </w:divBdr>
          <w:divsChild>
            <w:div w:id="1316493352">
              <w:marLeft w:val="0"/>
              <w:marRight w:val="0"/>
              <w:marTop w:val="0"/>
              <w:marBottom w:val="0"/>
              <w:divBdr>
                <w:top w:val="none" w:sz="0" w:space="0" w:color="auto"/>
                <w:left w:val="none" w:sz="0" w:space="0" w:color="auto"/>
                <w:bottom w:val="none" w:sz="0" w:space="0" w:color="auto"/>
                <w:right w:val="none" w:sz="0" w:space="0" w:color="auto"/>
              </w:divBdr>
            </w:div>
          </w:divsChild>
        </w:div>
        <w:div w:id="1008752367">
          <w:marLeft w:val="0"/>
          <w:marRight w:val="0"/>
          <w:marTop w:val="120"/>
          <w:marBottom w:val="120"/>
          <w:divBdr>
            <w:top w:val="none" w:sz="0" w:space="0" w:color="auto"/>
            <w:left w:val="none" w:sz="0" w:space="0" w:color="auto"/>
            <w:bottom w:val="none" w:sz="0" w:space="0" w:color="auto"/>
            <w:right w:val="none" w:sz="0" w:space="0" w:color="auto"/>
          </w:divBdr>
        </w:div>
        <w:div w:id="873998743">
          <w:marLeft w:val="0"/>
          <w:marRight w:val="0"/>
          <w:marTop w:val="120"/>
          <w:marBottom w:val="120"/>
          <w:divBdr>
            <w:top w:val="none" w:sz="0" w:space="0" w:color="auto"/>
            <w:left w:val="none" w:sz="0" w:space="0" w:color="auto"/>
            <w:bottom w:val="none" w:sz="0" w:space="0" w:color="auto"/>
            <w:right w:val="none" w:sz="0" w:space="0" w:color="auto"/>
          </w:divBdr>
        </w:div>
        <w:div w:id="701593404">
          <w:marLeft w:val="0"/>
          <w:marRight w:val="0"/>
          <w:marTop w:val="120"/>
          <w:marBottom w:val="120"/>
          <w:divBdr>
            <w:top w:val="none" w:sz="0" w:space="0" w:color="auto"/>
            <w:left w:val="none" w:sz="0" w:space="0" w:color="auto"/>
            <w:bottom w:val="none" w:sz="0" w:space="0" w:color="auto"/>
            <w:right w:val="none" w:sz="0" w:space="0" w:color="auto"/>
          </w:divBdr>
        </w:div>
        <w:div w:id="1610234917">
          <w:marLeft w:val="0"/>
          <w:marRight w:val="0"/>
          <w:marTop w:val="120"/>
          <w:marBottom w:val="120"/>
          <w:divBdr>
            <w:top w:val="none" w:sz="0" w:space="0" w:color="auto"/>
            <w:left w:val="none" w:sz="0" w:space="0" w:color="auto"/>
            <w:bottom w:val="none" w:sz="0" w:space="0" w:color="auto"/>
            <w:right w:val="none" w:sz="0" w:space="0" w:color="auto"/>
          </w:divBdr>
        </w:div>
        <w:div w:id="1763867147">
          <w:marLeft w:val="0"/>
          <w:marRight w:val="0"/>
          <w:marTop w:val="120"/>
          <w:marBottom w:val="120"/>
          <w:divBdr>
            <w:top w:val="none" w:sz="0" w:space="0" w:color="auto"/>
            <w:left w:val="none" w:sz="0" w:space="0" w:color="auto"/>
            <w:bottom w:val="none" w:sz="0" w:space="0" w:color="auto"/>
            <w:right w:val="none" w:sz="0" w:space="0" w:color="auto"/>
          </w:divBdr>
        </w:div>
        <w:div w:id="454103615">
          <w:marLeft w:val="0"/>
          <w:marRight w:val="0"/>
          <w:marTop w:val="120"/>
          <w:marBottom w:val="120"/>
          <w:divBdr>
            <w:top w:val="none" w:sz="0" w:space="0" w:color="auto"/>
            <w:left w:val="none" w:sz="0" w:space="0" w:color="auto"/>
            <w:bottom w:val="none" w:sz="0" w:space="0" w:color="auto"/>
            <w:right w:val="none" w:sz="0" w:space="0" w:color="auto"/>
          </w:divBdr>
        </w:div>
        <w:div w:id="2038508293">
          <w:marLeft w:val="0"/>
          <w:marRight w:val="0"/>
          <w:marTop w:val="120"/>
          <w:marBottom w:val="120"/>
          <w:divBdr>
            <w:top w:val="none" w:sz="0" w:space="0" w:color="auto"/>
            <w:left w:val="none" w:sz="0" w:space="0" w:color="auto"/>
            <w:bottom w:val="none" w:sz="0" w:space="0" w:color="auto"/>
            <w:right w:val="none" w:sz="0" w:space="0" w:color="auto"/>
          </w:divBdr>
        </w:div>
        <w:div w:id="2111269880">
          <w:marLeft w:val="0"/>
          <w:marRight w:val="0"/>
          <w:marTop w:val="120"/>
          <w:marBottom w:val="120"/>
          <w:divBdr>
            <w:top w:val="none" w:sz="0" w:space="0" w:color="auto"/>
            <w:left w:val="none" w:sz="0" w:space="0" w:color="auto"/>
            <w:bottom w:val="none" w:sz="0" w:space="0" w:color="auto"/>
            <w:right w:val="none" w:sz="0" w:space="0" w:color="auto"/>
          </w:divBdr>
        </w:div>
        <w:div w:id="525605828">
          <w:marLeft w:val="0"/>
          <w:marRight w:val="0"/>
          <w:marTop w:val="120"/>
          <w:marBottom w:val="120"/>
          <w:divBdr>
            <w:top w:val="none" w:sz="0" w:space="0" w:color="auto"/>
            <w:left w:val="none" w:sz="0" w:space="0" w:color="auto"/>
            <w:bottom w:val="none" w:sz="0" w:space="0" w:color="auto"/>
            <w:right w:val="none" w:sz="0" w:space="0" w:color="auto"/>
          </w:divBdr>
        </w:div>
        <w:div w:id="908347571">
          <w:marLeft w:val="0"/>
          <w:marRight w:val="0"/>
          <w:marTop w:val="120"/>
          <w:marBottom w:val="120"/>
          <w:divBdr>
            <w:top w:val="none" w:sz="0" w:space="0" w:color="auto"/>
            <w:left w:val="none" w:sz="0" w:space="0" w:color="auto"/>
            <w:bottom w:val="none" w:sz="0" w:space="0" w:color="auto"/>
            <w:right w:val="none" w:sz="0" w:space="0" w:color="auto"/>
          </w:divBdr>
        </w:div>
        <w:div w:id="124390754">
          <w:marLeft w:val="0"/>
          <w:marRight w:val="0"/>
          <w:marTop w:val="120"/>
          <w:marBottom w:val="120"/>
          <w:divBdr>
            <w:top w:val="none" w:sz="0" w:space="0" w:color="auto"/>
            <w:left w:val="none" w:sz="0" w:space="0" w:color="auto"/>
            <w:bottom w:val="none" w:sz="0" w:space="0" w:color="auto"/>
            <w:right w:val="none" w:sz="0" w:space="0" w:color="auto"/>
          </w:divBdr>
        </w:div>
        <w:div w:id="1666393894">
          <w:marLeft w:val="0"/>
          <w:marRight w:val="0"/>
          <w:marTop w:val="120"/>
          <w:marBottom w:val="120"/>
          <w:divBdr>
            <w:top w:val="none" w:sz="0" w:space="0" w:color="auto"/>
            <w:left w:val="none" w:sz="0" w:space="0" w:color="auto"/>
            <w:bottom w:val="none" w:sz="0" w:space="0" w:color="auto"/>
            <w:right w:val="none" w:sz="0" w:space="0" w:color="auto"/>
          </w:divBdr>
        </w:div>
        <w:div w:id="1632979740">
          <w:marLeft w:val="0"/>
          <w:marRight w:val="0"/>
          <w:marTop w:val="120"/>
          <w:marBottom w:val="120"/>
          <w:divBdr>
            <w:top w:val="none" w:sz="0" w:space="0" w:color="auto"/>
            <w:left w:val="none" w:sz="0" w:space="0" w:color="auto"/>
            <w:bottom w:val="none" w:sz="0" w:space="0" w:color="auto"/>
            <w:right w:val="none" w:sz="0" w:space="0" w:color="auto"/>
          </w:divBdr>
        </w:div>
        <w:div w:id="294681529">
          <w:marLeft w:val="0"/>
          <w:marRight w:val="0"/>
          <w:marTop w:val="120"/>
          <w:marBottom w:val="120"/>
          <w:divBdr>
            <w:top w:val="none" w:sz="0" w:space="0" w:color="auto"/>
            <w:left w:val="none" w:sz="0" w:space="0" w:color="auto"/>
            <w:bottom w:val="none" w:sz="0" w:space="0" w:color="auto"/>
            <w:right w:val="none" w:sz="0" w:space="0" w:color="auto"/>
          </w:divBdr>
        </w:div>
        <w:div w:id="306514778">
          <w:marLeft w:val="0"/>
          <w:marRight w:val="0"/>
          <w:marTop w:val="120"/>
          <w:marBottom w:val="120"/>
          <w:divBdr>
            <w:top w:val="none" w:sz="0" w:space="0" w:color="auto"/>
            <w:left w:val="none" w:sz="0" w:space="0" w:color="auto"/>
            <w:bottom w:val="none" w:sz="0" w:space="0" w:color="auto"/>
            <w:right w:val="none" w:sz="0" w:space="0" w:color="auto"/>
          </w:divBdr>
        </w:div>
        <w:div w:id="2080135123">
          <w:marLeft w:val="0"/>
          <w:marRight w:val="0"/>
          <w:marTop w:val="120"/>
          <w:marBottom w:val="120"/>
          <w:divBdr>
            <w:top w:val="none" w:sz="0" w:space="0" w:color="auto"/>
            <w:left w:val="none" w:sz="0" w:space="0" w:color="auto"/>
            <w:bottom w:val="none" w:sz="0" w:space="0" w:color="auto"/>
            <w:right w:val="none" w:sz="0" w:space="0" w:color="auto"/>
          </w:divBdr>
        </w:div>
        <w:div w:id="1544752327">
          <w:marLeft w:val="0"/>
          <w:marRight w:val="0"/>
          <w:marTop w:val="120"/>
          <w:marBottom w:val="120"/>
          <w:divBdr>
            <w:top w:val="none" w:sz="0" w:space="0" w:color="auto"/>
            <w:left w:val="none" w:sz="0" w:space="0" w:color="auto"/>
            <w:bottom w:val="none" w:sz="0" w:space="0" w:color="auto"/>
            <w:right w:val="none" w:sz="0" w:space="0" w:color="auto"/>
          </w:divBdr>
        </w:div>
        <w:div w:id="839857161">
          <w:marLeft w:val="0"/>
          <w:marRight w:val="0"/>
          <w:marTop w:val="120"/>
          <w:marBottom w:val="120"/>
          <w:divBdr>
            <w:top w:val="none" w:sz="0" w:space="0" w:color="auto"/>
            <w:left w:val="none" w:sz="0" w:space="0" w:color="auto"/>
            <w:bottom w:val="none" w:sz="0" w:space="0" w:color="auto"/>
            <w:right w:val="none" w:sz="0" w:space="0" w:color="auto"/>
          </w:divBdr>
        </w:div>
        <w:div w:id="533926884">
          <w:marLeft w:val="0"/>
          <w:marRight w:val="0"/>
          <w:marTop w:val="120"/>
          <w:marBottom w:val="120"/>
          <w:divBdr>
            <w:top w:val="none" w:sz="0" w:space="0" w:color="auto"/>
            <w:left w:val="none" w:sz="0" w:space="0" w:color="auto"/>
            <w:bottom w:val="none" w:sz="0" w:space="0" w:color="auto"/>
            <w:right w:val="none" w:sz="0" w:space="0" w:color="auto"/>
          </w:divBdr>
          <w:divsChild>
            <w:div w:id="1245140798">
              <w:marLeft w:val="0"/>
              <w:marRight w:val="0"/>
              <w:marTop w:val="0"/>
              <w:marBottom w:val="0"/>
              <w:divBdr>
                <w:top w:val="none" w:sz="0" w:space="0" w:color="auto"/>
                <w:left w:val="none" w:sz="0" w:space="0" w:color="auto"/>
                <w:bottom w:val="none" w:sz="0" w:space="0" w:color="auto"/>
                <w:right w:val="none" w:sz="0" w:space="0" w:color="auto"/>
              </w:divBdr>
            </w:div>
            <w:div w:id="1593969555">
              <w:marLeft w:val="0"/>
              <w:marRight w:val="0"/>
              <w:marTop w:val="120"/>
              <w:marBottom w:val="120"/>
              <w:divBdr>
                <w:top w:val="none" w:sz="0" w:space="0" w:color="auto"/>
                <w:left w:val="none" w:sz="0" w:space="0" w:color="auto"/>
                <w:bottom w:val="none" w:sz="0" w:space="0" w:color="auto"/>
                <w:right w:val="none" w:sz="0" w:space="0" w:color="auto"/>
              </w:divBdr>
              <w:divsChild>
                <w:div w:id="114367903">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630476602">
          <w:marLeft w:val="0"/>
          <w:marRight w:val="0"/>
          <w:marTop w:val="120"/>
          <w:marBottom w:val="120"/>
          <w:divBdr>
            <w:top w:val="none" w:sz="0" w:space="0" w:color="auto"/>
            <w:left w:val="none" w:sz="0" w:space="0" w:color="auto"/>
            <w:bottom w:val="none" w:sz="0" w:space="0" w:color="auto"/>
            <w:right w:val="none" w:sz="0" w:space="0" w:color="auto"/>
          </w:divBdr>
        </w:div>
        <w:div w:id="1994217405">
          <w:marLeft w:val="0"/>
          <w:marRight w:val="0"/>
          <w:marTop w:val="120"/>
          <w:marBottom w:val="120"/>
          <w:divBdr>
            <w:top w:val="none" w:sz="0" w:space="0" w:color="auto"/>
            <w:left w:val="none" w:sz="0" w:space="0" w:color="auto"/>
            <w:bottom w:val="none" w:sz="0" w:space="0" w:color="auto"/>
            <w:right w:val="none" w:sz="0" w:space="0" w:color="auto"/>
          </w:divBdr>
        </w:div>
        <w:div w:id="448208315">
          <w:marLeft w:val="0"/>
          <w:marRight w:val="0"/>
          <w:marTop w:val="120"/>
          <w:marBottom w:val="120"/>
          <w:divBdr>
            <w:top w:val="none" w:sz="0" w:space="0" w:color="auto"/>
            <w:left w:val="none" w:sz="0" w:space="0" w:color="auto"/>
            <w:bottom w:val="none" w:sz="0" w:space="0" w:color="auto"/>
            <w:right w:val="none" w:sz="0" w:space="0" w:color="auto"/>
          </w:divBdr>
        </w:div>
        <w:div w:id="300118981">
          <w:marLeft w:val="0"/>
          <w:marRight w:val="0"/>
          <w:marTop w:val="120"/>
          <w:marBottom w:val="120"/>
          <w:divBdr>
            <w:top w:val="none" w:sz="0" w:space="0" w:color="auto"/>
            <w:left w:val="none" w:sz="0" w:space="0" w:color="auto"/>
            <w:bottom w:val="none" w:sz="0" w:space="0" w:color="auto"/>
            <w:right w:val="none" w:sz="0" w:space="0" w:color="auto"/>
          </w:divBdr>
        </w:div>
        <w:div w:id="81223665">
          <w:marLeft w:val="0"/>
          <w:marRight w:val="0"/>
          <w:marTop w:val="120"/>
          <w:marBottom w:val="120"/>
          <w:divBdr>
            <w:top w:val="none" w:sz="0" w:space="0" w:color="auto"/>
            <w:left w:val="none" w:sz="0" w:space="0" w:color="auto"/>
            <w:bottom w:val="none" w:sz="0" w:space="0" w:color="auto"/>
            <w:right w:val="none" w:sz="0" w:space="0" w:color="auto"/>
          </w:divBdr>
        </w:div>
        <w:div w:id="1210415360">
          <w:marLeft w:val="0"/>
          <w:marRight w:val="0"/>
          <w:marTop w:val="120"/>
          <w:marBottom w:val="120"/>
          <w:divBdr>
            <w:top w:val="none" w:sz="0" w:space="0" w:color="auto"/>
            <w:left w:val="none" w:sz="0" w:space="0" w:color="auto"/>
            <w:bottom w:val="none" w:sz="0" w:space="0" w:color="auto"/>
            <w:right w:val="none" w:sz="0" w:space="0" w:color="auto"/>
          </w:divBdr>
        </w:div>
        <w:div w:id="690448787">
          <w:marLeft w:val="0"/>
          <w:marRight w:val="0"/>
          <w:marTop w:val="120"/>
          <w:marBottom w:val="120"/>
          <w:divBdr>
            <w:top w:val="none" w:sz="0" w:space="0" w:color="auto"/>
            <w:left w:val="none" w:sz="0" w:space="0" w:color="auto"/>
            <w:bottom w:val="none" w:sz="0" w:space="0" w:color="auto"/>
            <w:right w:val="none" w:sz="0" w:space="0" w:color="auto"/>
          </w:divBdr>
        </w:div>
        <w:div w:id="1495489936">
          <w:marLeft w:val="0"/>
          <w:marRight w:val="0"/>
          <w:marTop w:val="120"/>
          <w:marBottom w:val="120"/>
          <w:divBdr>
            <w:top w:val="none" w:sz="0" w:space="0" w:color="auto"/>
            <w:left w:val="none" w:sz="0" w:space="0" w:color="auto"/>
            <w:bottom w:val="none" w:sz="0" w:space="0" w:color="auto"/>
            <w:right w:val="none" w:sz="0" w:space="0" w:color="auto"/>
          </w:divBdr>
        </w:div>
        <w:div w:id="226846779">
          <w:marLeft w:val="0"/>
          <w:marRight w:val="0"/>
          <w:marTop w:val="120"/>
          <w:marBottom w:val="120"/>
          <w:divBdr>
            <w:top w:val="none" w:sz="0" w:space="0" w:color="auto"/>
            <w:left w:val="none" w:sz="0" w:space="0" w:color="auto"/>
            <w:bottom w:val="none" w:sz="0" w:space="0" w:color="auto"/>
            <w:right w:val="none" w:sz="0" w:space="0" w:color="auto"/>
          </w:divBdr>
        </w:div>
        <w:div w:id="1170146883">
          <w:marLeft w:val="0"/>
          <w:marRight w:val="0"/>
          <w:marTop w:val="120"/>
          <w:marBottom w:val="120"/>
          <w:divBdr>
            <w:top w:val="none" w:sz="0" w:space="0" w:color="auto"/>
            <w:left w:val="none" w:sz="0" w:space="0" w:color="auto"/>
            <w:bottom w:val="none" w:sz="0" w:space="0" w:color="auto"/>
            <w:right w:val="none" w:sz="0" w:space="0" w:color="auto"/>
          </w:divBdr>
        </w:div>
        <w:div w:id="1429155380">
          <w:marLeft w:val="0"/>
          <w:marRight w:val="0"/>
          <w:marTop w:val="120"/>
          <w:marBottom w:val="120"/>
          <w:divBdr>
            <w:top w:val="none" w:sz="0" w:space="0" w:color="auto"/>
            <w:left w:val="none" w:sz="0" w:space="0" w:color="auto"/>
            <w:bottom w:val="none" w:sz="0" w:space="0" w:color="auto"/>
            <w:right w:val="none" w:sz="0" w:space="0" w:color="auto"/>
          </w:divBdr>
        </w:div>
        <w:div w:id="145632802">
          <w:marLeft w:val="0"/>
          <w:marRight w:val="0"/>
          <w:marTop w:val="120"/>
          <w:marBottom w:val="120"/>
          <w:divBdr>
            <w:top w:val="none" w:sz="0" w:space="0" w:color="auto"/>
            <w:left w:val="none" w:sz="0" w:space="0" w:color="auto"/>
            <w:bottom w:val="none" w:sz="0" w:space="0" w:color="auto"/>
            <w:right w:val="none" w:sz="0" w:space="0" w:color="auto"/>
          </w:divBdr>
        </w:div>
        <w:div w:id="199361770">
          <w:marLeft w:val="0"/>
          <w:marRight w:val="0"/>
          <w:marTop w:val="120"/>
          <w:marBottom w:val="120"/>
          <w:divBdr>
            <w:top w:val="none" w:sz="0" w:space="0" w:color="auto"/>
            <w:left w:val="none" w:sz="0" w:space="0" w:color="auto"/>
            <w:bottom w:val="none" w:sz="0" w:space="0" w:color="auto"/>
            <w:right w:val="none" w:sz="0" w:space="0" w:color="auto"/>
          </w:divBdr>
          <w:divsChild>
            <w:div w:id="1798378501">
              <w:marLeft w:val="0"/>
              <w:marRight w:val="0"/>
              <w:marTop w:val="0"/>
              <w:marBottom w:val="0"/>
              <w:divBdr>
                <w:top w:val="none" w:sz="0" w:space="0" w:color="auto"/>
                <w:left w:val="none" w:sz="0" w:space="0" w:color="auto"/>
                <w:bottom w:val="none" w:sz="0" w:space="0" w:color="auto"/>
                <w:right w:val="none" w:sz="0" w:space="0" w:color="auto"/>
              </w:divBdr>
            </w:div>
          </w:divsChild>
        </w:div>
        <w:div w:id="136264457">
          <w:marLeft w:val="0"/>
          <w:marRight w:val="0"/>
          <w:marTop w:val="120"/>
          <w:marBottom w:val="120"/>
          <w:divBdr>
            <w:top w:val="none" w:sz="0" w:space="0" w:color="auto"/>
            <w:left w:val="none" w:sz="0" w:space="0" w:color="auto"/>
            <w:bottom w:val="none" w:sz="0" w:space="0" w:color="auto"/>
            <w:right w:val="none" w:sz="0" w:space="0" w:color="auto"/>
          </w:divBdr>
        </w:div>
        <w:div w:id="1936402194">
          <w:marLeft w:val="0"/>
          <w:marRight w:val="0"/>
          <w:marTop w:val="120"/>
          <w:marBottom w:val="120"/>
          <w:divBdr>
            <w:top w:val="none" w:sz="0" w:space="0" w:color="auto"/>
            <w:left w:val="none" w:sz="0" w:space="0" w:color="auto"/>
            <w:bottom w:val="none" w:sz="0" w:space="0" w:color="auto"/>
            <w:right w:val="none" w:sz="0" w:space="0" w:color="auto"/>
          </w:divBdr>
        </w:div>
        <w:div w:id="1752852547">
          <w:marLeft w:val="0"/>
          <w:marRight w:val="0"/>
          <w:marTop w:val="120"/>
          <w:marBottom w:val="120"/>
          <w:divBdr>
            <w:top w:val="none" w:sz="0" w:space="0" w:color="auto"/>
            <w:left w:val="none" w:sz="0" w:space="0" w:color="auto"/>
            <w:bottom w:val="none" w:sz="0" w:space="0" w:color="auto"/>
            <w:right w:val="none" w:sz="0" w:space="0" w:color="auto"/>
          </w:divBdr>
        </w:div>
        <w:div w:id="76483481">
          <w:marLeft w:val="0"/>
          <w:marRight w:val="0"/>
          <w:marTop w:val="120"/>
          <w:marBottom w:val="120"/>
          <w:divBdr>
            <w:top w:val="none" w:sz="0" w:space="0" w:color="auto"/>
            <w:left w:val="none" w:sz="0" w:space="0" w:color="auto"/>
            <w:bottom w:val="none" w:sz="0" w:space="0" w:color="auto"/>
            <w:right w:val="none" w:sz="0" w:space="0" w:color="auto"/>
          </w:divBdr>
        </w:div>
        <w:div w:id="17314862">
          <w:marLeft w:val="0"/>
          <w:marRight w:val="0"/>
          <w:marTop w:val="120"/>
          <w:marBottom w:val="120"/>
          <w:divBdr>
            <w:top w:val="none" w:sz="0" w:space="0" w:color="auto"/>
            <w:left w:val="none" w:sz="0" w:space="0" w:color="auto"/>
            <w:bottom w:val="none" w:sz="0" w:space="0" w:color="auto"/>
            <w:right w:val="none" w:sz="0" w:space="0" w:color="auto"/>
          </w:divBdr>
        </w:div>
        <w:div w:id="1435592871">
          <w:marLeft w:val="0"/>
          <w:marRight w:val="0"/>
          <w:marTop w:val="120"/>
          <w:marBottom w:val="120"/>
          <w:divBdr>
            <w:top w:val="none" w:sz="0" w:space="0" w:color="auto"/>
            <w:left w:val="none" w:sz="0" w:space="0" w:color="auto"/>
            <w:bottom w:val="none" w:sz="0" w:space="0" w:color="auto"/>
            <w:right w:val="none" w:sz="0" w:space="0" w:color="auto"/>
          </w:divBdr>
        </w:div>
        <w:div w:id="1727677789">
          <w:marLeft w:val="0"/>
          <w:marRight w:val="0"/>
          <w:marTop w:val="120"/>
          <w:marBottom w:val="120"/>
          <w:divBdr>
            <w:top w:val="none" w:sz="0" w:space="0" w:color="auto"/>
            <w:left w:val="none" w:sz="0" w:space="0" w:color="auto"/>
            <w:bottom w:val="none" w:sz="0" w:space="0" w:color="auto"/>
            <w:right w:val="none" w:sz="0" w:space="0" w:color="auto"/>
          </w:divBdr>
        </w:div>
        <w:div w:id="595557706">
          <w:marLeft w:val="0"/>
          <w:marRight w:val="0"/>
          <w:marTop w:val="120"/>
          <w:marBottom w:val="120"/>
          <w:divBdr>
            <w:top w:val="none" w:sz="0" w:space="0" w:color="auto"/>
            <w:left w:val="none" w:sz="0" w:space="0" w:color="auto"/>
            <w:bottom w:val="none" w:sz="0" w:space="0" w:color="auto"/>
            <w:right w:val="none" w:sz="0" w:space="0" w:color="auto"/>
          </w:divBdr>
        </w:div>
        <w:div w:id="922762897">
          <w:marLeft w:val="0"/>
          <w:marRight w:val="0"/>
          <w:marTop w:val="120"/>
          <w:marBottom w:val="120"/>
          <w:divBdr>
            <w:top w:val="none" w:sz="0" w:space="0" w:color="auto"/>
            <w:left w:val="none" w:sz="0" w:space="0" w:color="auto"/>
            <w:bottom w:val="none" w:sz="0" w:space="0" w:color="auto"/>
            <w:right w:val="none" w:sz="0" w:space="0" w:color="auto"/>
          </w:divBdr>
        </w:div>
        <w:div w:id="1306740482">
          <w:marLeft w:val="0"/>
          <w:marRight w:val="0"/>
          <w:marTop w:val="120"/>
          <w:marBottom w:val="120"/>
          <w:divBdr>
            <w:top w:val="none" w:sz="0" w:space="0" w:color="auto"/>
            <w:left w:val="none" w:sz="0" w:space="0" w:color="auto"/>
            <w:bottom w:val="none" w:sz="0" w:space="0" w:color="auto"/>
            <w:right w:val="none" w:sz="0" w:space="0" w:color="auto"/>
          </w:divBdr>
        </w:div>
        <w:div w:id="1075514356">
          <w:marLeft w:val="0"/>
          <w:marRight w:val="0"/>
          <w:marTop w:val="120"/>
          <w:marBottom w:val="120"/>
          <w:divBdr>
            <w:top w:val="none" w:sz="0" w:space="0" w:color="auto"/>
            <w:left w:val="none" w:sz="0" w:space="0" w:color="auto"/>
            <w:bottom w:val="none" w:sz="0" w:space="0" w:color="auto"/>
            <w:right w:val="none" w:sz="0" w:space="0" w:color="auto"/>
          </w:divBdr>
        </w:div>
        <w:div w:id="216206067">
          <w:marLeft w:val="0"/>
          <w:marRight w:val="0"/>
          <w:marTop w:val="120"/>
          <w:marBottom w:val="120"/>
          <w:divBdr>
            <w:top w:val="none" w:sz="0" w:space="0" w:color="auto"/>
            <w:left w:val="none" w:sz="0" w:space="0" w:color="auto"/>
            <w:bottom w:val="none" w:sz="0" w:space="0" w:color="auto"/>
            <w:right w:val="none" w:sz="0" w:space="0" w:color="auto"/>
          </w:divBdr>
        </w:div>
        <w:div w:id="265814057">
          <w:marLeft w:val="0"/>
          <w:marRight w:val="0"/>
          <w:marTop w:val="120"/>
          <w:marBottom w:val="120"/>
          <w:divBdr>
            <w:top w:val="none" w:sz="0" w:space="0" w:color="auto"/>
            <w:left w:val="none" w:sz="0" w:space="0" w:color="auto"/>
            <w:bottom w:val="none" w:sz="0" w:space="0" w:color="auto"/>
            <w:right w:val="none" w:sz="0" w:space="0" w:color="auto"/>
          </w:divBdr>
        </w:div>
        <w:div w:id="614674654">
          <w:marLeft w:val="0"/>
          <w:marRight w:val="0"/>
          <w:marTop w:val="120"/>
          <w:marBottom w:val="120"/>
          <w:divBdr>
            <w:top w:val="none" w:sz="0" w:space="0" w:color="auto"/>
            <w:left w:val="none" w:sz="0" w:space="0" w:color="auto"/>
            <w:bottom w:val="none" w:sz="0" w:space="0" w:color="auto"/>
            <w:right w:val="none" w:sz="0" w:space="0" w:color="auto"/>
          </w:divBdr>
        </w:div>
        <w:div w:id="1172526435">
          <w:marLeft w:val="0"/>
          <w:marRight w:val="0"/>
          <w:marTop w:val="120"/>
          <w:marBottom w:val="120"/>
          <w:divBdr>
            <w:top w:val="none" w:sz="0" w:space="0" w:color="auto"/>
            <w:left w:val="none" w:sz="0" w:space="0" w:color="auto"/>
            <w:bottom w:val="none" w:sz="0" w:space="0" w:color="auto"/>
            <w:right w:val="none" w:sz="0" w:space="0" w:color="auto"/>
          </w:divBdr>
        </w:div>
        <w:div w:id="1394741204">
          <w:marLeft w:val="0"/>
          <w:marRight w:val="0"/>
          <w:marTop w:val="120"/>
          <w:marBottom w:val="120"/>
          <w:divBdr>
            <w:top w:val="none" w:sz="0" w:space="0" w:color="auto"/>
            <w:left w:val="none" w:sz="0" w:space="0" w:color="auto"/>
            <w:bottom w:val="none" w:sz="0" w:space="0" w:color="auto"/>
            <w:right w:val="none" w:sz="0" w:space="0" w:color="auto"/>
          </w:divBdr>
        </w:div>
        <w:div w:id="1200240736">
          <w:marLeft w:val="0"/>
          <w:marRight w:val="0"/>
          <w:marTop w:val="120"/>
          <w:marBottom w:val="120"/>
          <w:divBdr>
            <w:top w:val="none" w:sz="0" w:space="0" w:color="auto"/>
            <w:left w:val="none" w:sz="0" w:space="0" w:color="auto"/>
            <w:bottom w:val="none" w:sz="0" w:space="0" w:color="auto"/>
            <w:right w:val="none" w:sz="0" w:space="0" w:color="auto"/>
          </w:divBdr>
        </w:div>
        <w:div w:id="1616474104">
          <w:marLeft w:val="0"/>
          <w:marRight w:val="0"/>
          <w:marTop w:val="120"/>
          <w:marBottom w:val="120"/>
          <w:divBdr>
            <w:top w:val="none" w:sz="0" w:space="0" w:color="auto"/>
            <w:left w:val="none" w:sz="0" w:space="0" w:color="auto"/>
            <w:bottom w:val="none" w:sz="0" w:space="0" w:color="auto"/>
            <w:right w:val="none" w:sz="0" w:space="0" w:color="auto"/>
          </w:divBdr>
        </w:div>
        <w:div w:id="344752013">
          <w:marLeft w:val="0"/>
          <w:marRight w:val="0"/>
          <w:marTop w:val="120"/>
          <w:marBottom w:val="120"/>
          <w:divBdr>
            <w:top w:val="none" w:sz="0" w:space="0" w:color="auto"/>
            <w:left w:val="none" w:sz="0" w:space="0" w:color="auto"/>
            <w:bottom w:val="none" w:sz="0" w:space="0" w:color="auto"/>
            <w:right w:val="none" w:sz="0" w:space="0" w:color="auto"/>
          </w:divBdr>
        </w:div>
        <w:div w:id="53284696">
          <w:marLeft w:val="0"/>
          <w:marRight w:val="0"/>
          <w:marTop w:val="120"/>
          <w:marBottom w:val="120"/>
          <w:divBdr>
            <w:top w:val="none" w:sz="0" w:space="0" w:color="auto"/>
            <w:left w:val="none" w:sz="0" w:space="0" w:color="auto"/>
            <w:bottom w:val="none" w:sz="0" w:space="0" w:color="auto"/>
            <w:right w:val="none" w:sz="0" w:space="0" w:color="auto"/>
          </w:divBdr>
        </w:div>
        <w:div w:id="862400116">
          <w:marLeft w:val="0"/>
          <w:marRight w:val="0"/>
          <w:marTop w:val="120"/>
          <w:marBottom w:val="120"/>
          <w:divBdr>
            <w:top w:val="none" w:sz="0" w:space="0" w:color="auto"/>
            <w:left w:val="none" w:sz="0" w:space="0" w:color="auto"/>
            <w:bottom w:val="none" w:sz="0" w:space="0" w:color="auto"/>
            <w:right w:val="none" w:sz="0" w:space="0" w:color="auto"/>
          </w:divBdr>
        </w:div>
        <w:div w:id="1038354102">
          <w:marLeft w:val="0"/>
          <w:marRight w:val="0"/>
          <w:marTop w:val="120"/>
          <w:marBottom w:val="120"/>
          <w:divBdr>
            <w:top w:val="none" w:sz="0" w:space="0" w:color="auto"/>
            <w:left w:val="none" w:sz="0" w:space="0" w:color="auto"/>
            <w:bottom w:val="none" w:sz="0" w:space="0" w:color="auto"/>
            <w:right w:val="none" w:sz="0" w:space="0" w:color="auto"/>
          </w:divBdr>
        </w:div>
        <w:div w:id="2105565679">
          <w:marLeft w:val="0"/>
          <w:marRight w:val="0"/>
          <w:marTop w:val="120"/>
          <w:marBottom w:val="120"/>
          <w:divBdr>
            <w:top w:val="none" w:sz="0" w:space="0" w:color="auto"/>
            <w:left w:val="none" w:sz="0" w:space="0" w:color="auto"/>
            <w:bottom w:val="none" w:sz="0" w:space="0" w:color="auto"/>
            <w:right w:val="none" w:sz="0" w:space="0" w:color="auto"/>
          </w:divBdr>
        </w:div>
        <w:div w:id="948269835">
          <w:marLeft w:val="0"/>
          <w:marRight w:val="0"/>
          <w:marTop w:val="120"/>
          <w:marBottom w:val="120"/>
          <w:divBdr>
            <w:top w:val="none" w:sz="0" w:space="0" w:color="auto"/>
            <w:left w:val="none" w:sz="0" w:space="0" w:color="auto"/>
            <w:bottom w:val="none" w:sz="0" w:space="0" w:color="auto"/>
            <w:right w:val="none" w:sz="0" w:space="0" w:color="auto"/>
          </w:divBdr>
        </w:div>
        <w:div w:id="267782222">
          <w:marLeft w:val="0"/>
          <w:marRight w:val="0"/>
          <w:marTop w:val="120"/>
          <w:marBottom w:val="120"/>
          <w:divBdr>
            <w:top w:val="none" w:sz="0" w:space="0" w:color="auto"/>
            <w:left w:val="none" w:sz="0" w:space="0" w:color="auto"/>
            <w:bottom w:val="none" w:sz="0" w:space="0" w:color="auto"/>
            <w:right w:val="none" w:sz="0" w:space="0" w:color="auto"/>
          </w:divBdr>
        </w:div>
        <w:div w:id="345402683">
          <w:marLeft w:val="0"/>
          <w:marRight w:val="0"/>
          <w:marTop w:val="120"/>
          <w:marBottom w:val="120"/>
          <w:divBdr>
            <w:top w:val="none" w:sz="0" w:space="0" w:color="auto"/>
            <w:left w:val="none" w:sz="0" w:space="0" w:color="auto"/>
            <w:bottom w:val="none" w:sz="0" w:space="0" w:color="auto"/>
            <w:right w:val="none" w:sz="0" w:space="0" w:color="auto"/>
          </w:divBdr>
        </w:div>
        <w:div w:id="241064218">
          <w:marLeft w:val="0"/>
          <w:marRight w:val="0"/>
          <w:marTop w:val="120"/>
          <w:marBottom w:val="120"/>
          <w:divBdr>
            <w:top w:val="none" w:sz="0" w:space="0" w:color="auto"/>
            <w:left w:val="none" w:sz="0" w:space="0" w:color="auto"/>
            <w:bottom w:val="none" w:sz="0" w:space="0" w:color="auto"/>
            <w:right w:val="none" w:sz="0" w:space="0" w:color="auto"/>
          </w:divBdr>
        </w:div>
        <w:div w:id="1851606080">
          <w:marLeft w:val="0"/>
          <w:marRight w:val="0"/>
          <w:marTop w:val="120"/>
          <w:marBottom w:val="120"/>
          <w:divBdr>
            <w:top w:val="none" w:sz="0" w:space="0" w:color="auto"/>
            <w:left w:val="none" w:sz="0" w:space="0" w:color="auto"/>
            <w:bottom w:val="none" w:sz="0" w:space="0" w:color="auto"/>
            <w:right w:val="none" w:sz="0" w:space="0" w:color="auto"/>
          </w:divBdr>
        </w:div>
        <w:div w:id="1728263851">
          <w:marLeft w:val="0"/>
          <w:marRight w:val="0"/>
          <w:marTop w:val="120"/>
          <w:marBottom w:val="120"/>
          <w:divBdr>
            <w:top w:val="none" w:sz="0" w:space="0" w:color="auto"/>
            <w:left w:val="none" w:sz="0" w:space="0" w:color="auto"/>
            <w:bottom w:val="none" w:sz="0" w:space="0" w:color="auto"/>
            <w:right w:val="none" w:sz="0" w:space="0" w:color="auto"/>
          </w:divBdr>
        </w:div>
        <w:div w:id="1150825338">
          <w:marLeft w:val="0"/>
          <w:marRight w:val="0"/>
          <w:marTop w:val="120"/>
          <w:marBottom w:val="120"/>
          <w:divBdr>
            <w:top w:val="none" w:sz="0" w:space="0" w:color="auto"/>
            <w:left w:val="none" w:sz="0" w:space="0" w:color="auto"/>
            <w:bottom w:val="none" w:sz="0" w:space="0" w:color="auto"/>
            <w:right w:val="none" w:sz="0" w:space="0" w:color="auto"/>
          </w:divBdr>
        </w:div>
        <w:div w:id="2004703642">
          <w:marLeft w:val="0"/>
          <w:marRight w:val="0"/>
          <w:marTop w:val="120"/>
          <w:marBottom w:val="120"/>
          <w:divBdr>
            <w:top w:val="none" w:sz="0" w:space="0" w:color="auto"/>
            <w:left w:val="none" w:sz="0" w:space="0" w:color="auto"/>
            <w:bottom w:val="none" w:sz="0" w:space="0" w:color="auto"/>
            <w:right w:val="none" w:sz="0" w:space="0" w:color="auto"/>
          </w:divBdr>
        </w:div>
        <w:div w:id="2037461055">
          <w:marLeft w:val="0"/>
          <w:marRight w:val="0"/>
          <w:marTop w:val="120"/>
          <w:marBottom w:val="120"/>
          <w:divBdr>
            <w:top w:val="none" w:sz="0" w:space="0" w:color="auto"/>
            <w:left w:val="none" w:sz="0" w:space="0" w:color="auto"/>
            <w:bottom w:val="none" w:sz="0" w:space="0" w:color="auto"/>
            <w:right w:val="none" w:sz="0" w:space="0" w:color="auto"/>
          </w:divBdr>
        </w:div>
        <w:div w:id="2105760801">
          <w:marLeft w:val="0"/>
          <w:marRight w:val="0"/>
          <w:marTop w:val="120"/>
          <w:marBottom w:val="120"/>
          <w:divBdr>
            <w:top w:val="none" w:sz="0" w:space="0" w:color="auto"/>
            <w:left w:val="none" w:sz="0" w:space="0" w:color="auto"/>
            <w:bottom w:val="none" w:sz="0" w:space="0" w:color="auto"/>
            <w:right w:val="none" w:sz="0" w:space="0" w:color="auto"/>
          </w:divBdr>
        </w:div>
        <w:div w:id="2085492720">
          <w:marLeft w:val="0"/>
          <w:marRight w:val="0"/>
          <w:marTop w:val="120"/>
          <w:marBottom w:val="120"/>
          <w:divBdr>
            <w:top w:val="none" w:sz="0" w:space="0" w:color="auto"/>
            <w:left w:val="none" w:sz="0" w:space="0" w:color="auto"/>
            <w:bottom w:val="none" w:sz="0" w:space="0" w:color="auto"/>
            <w:right w:val="none" w:sz="0" w:space="0" w:color="auto"/>
          </w:divBdr>
        </w:div>
        <w:div w:id="1027801458">
          <w:marLeft w:val="0"/>
          <w:marRight w:val="0"/>
          <w:marTop w:val="120"/>
          <w:marBottom w:val="120"/>
          <w:divBdr>
            <w:top w:val="none" w:sz="0" w:space="0" w:color="auto"/>
            <w:left w:val="none" w:sz="0" w:space="0" w:color="auto"/>
            <w:bottom w:val="none" w:sz="0" w:space="0" w:color="auto"/>
            <w:right w:val="none" w:sz="0" w:space="0" w:color="auto"/>
          </w:divBdr>
          <w:divsChild>
            <w:div w:id="6093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noi-dung-tham-chieu.html?DocItemId=53326" TargetMode="External"/><Relationship Id="rId18" Type="http://schemas.openxmlformats.org/officeDocument/2006/relationships/hyperlink" Target="https://luatvietnam.vn/noi-dung-tham-chieu.html?DocItemId=53387" TargetMode="External"/><Relationship Id="rId26" Type="http://schemas.openxmlformats.org/officeDocument/2006/relationships/hyperlink" Target="https://luatvietnam.vn/noi-dung-tham-chieu.html?DocItemId=53442" TargetMode="External"/><Relationship Id="rId39" Type="http://schemas.openxmlformats.org/officeDocument/2006/relationships/hyperlink" Target="https://luatvietnam.vn/noi-dung-tham-chieu.html?DocItemId=53510" TargetMode="External"/><Relationship Id="rId21" Type="http://schemas.openxmlformats.org/officeDocument/2006/relationships/hyperlink" Target="https://luatvietnam.vn/noi-dung-tham-chieu.html?DocItemId=53408" TargetMode="External"/><Relationship Id="rId34" Type="http://schemas.openxmlformats.org/officeDocument/2006/relationships/hyperlink" Target="https://luatvietnam.vn/noi-dung-tham-chieu.html?DocItemId=53469" TargetMode="External"/><Relationship Id="rId42" Type="http://schemas.openxmlformats.org/officeDocument/2006/relationships/hyperlink" Target="https://luatvietnam.vn/noi-dung-tham-chieu.html?DocItemId=53531" TargetMode="External"/><Relationship Id="rId47" Type="http://schemas.openxmlformats.org/officeDocument/2006/relationships/hyperlink" Target="https://luatvietnam.vn/noi-dung-tham-chieu.html?DocItemId=53591" TargetMode="External"/><Relationship Id="rId50" Type="http://schemas.openxmlformats.org/officeDocument/2006/relationships/hyperlink" Target="https://luatvietnam.vn/noi-dung-tham-chieu.html?DocItemId=53615" TargetMode="External"/><Relationship Id="rId7" Type="http://schemas.openxmlformats.org/officeDocument/2006/relationships/hyperlink" Target="https://luatvietnam.vn/noi-dung-tham-chieu.html?DocItemId=53284" TargetMode="External"/><Relationship Id="rId2" Type="http://schemas.openxmlformats.org/officeDocument/2006/relationships/settings" Target="settings.xml"/><Relationship Id="rId16" Type="http://schemas.openxmlformats.org/officeDocument/2006/relationships/hyperlink" Target="https://luatvietnam.vn/noi-dung-tham-chieu.html?DocItemId=53368" TargetMode="External"/><Relationship Id="rId29" Type="http://schemas.openxmlformats.org/officeDocument/2006/relationships/hyperlink" Target="https://luatvietnam.vn/noi-dung-tham-chieu.html?DocItemId=53445" TargetMode="External"/><Relationship Id="rId11" Type="http://schemas.openxmlformats.org/officeDocument/2006/relationships/hyperlink" Target="https://luatvietnam.vn/noi-dung-tham-chieu.html?DocItemId=53307" TargetMode="External"/><Relationship Id="rId24" Type="http://schemas.openxmlformats.org/officeDocument/2006/relationships/hyperlink" Target="https://luatvietnam.vn/noi-dung-tham-chieu.html?DocItemId=53422" TargetMode="External"/><Relationship Id="rId32" Type="http://schemas.openxmlformats.org/officeDocument/2006/relationships/hyperlink" Target="https://luatvietnam.vn/noi-dung-tham-chieu.html?DocItemId=53460" TargetMode="External"/><Relationship Id="rId37" Type="http://schemas.openxmlformats.org/officeDocument/2006/relationships/hyperlink" Target="https://luatvietnam.vn/noi-dung-tham-chieu.html?DocItemId=53506" TargetMode="External"/><Relationship Id="rId40" Type="http://schemas.openxmlformats.org/officeDocument/2006/relationships/hyperlink" Target="https://luatvietnam.vn/noi-dung-tham-chieu.html?DocItemId=53519" TargetMode="External"/><Relationship Id="rId45" Type="http://schemas.openxmlformats.org/officeDocument/2006/relationships/hyperlink" Target="https://luatvietnam.vn/noi-dung-tham-chieu.html?DocItemId=53574" TargetMode="External"/><Relationship Id="rId5" Type="http://schemas.openxmlformats.org/officeDocument/2006/relationships/image" Target="media/image2.png"/><Relationship Id="rId15" Type="http://schemas.openxmlformats.org/officeDocument/2006/relationships/hyperlink" Target="https://luatvietnam.vn/noi-dung-tham-chieu.html?DocItemId=53339" TargetMode="External"/><Relationship Id="rId23" Type="http://schemas.openxmlformats.org/officeDocument/2006/relationships/hyperlink" Target="https://luatvietnam.vn/noi-dung-tham-chieu.html?DocItemId=53421" TargetMode="External"/><Relationship Id="rId28" Type="http://schemas.openxmlformats.org/officeDocument/2006/relationships/hyperlink" Target="https://luatvietnam.vn/noi-dung-tham-chieu.html?DocItemId=53444" TargetMode="External"/><Relationship Id="rId36" Type="http://schemas.openxmlformats.org/officeDocument/2006/relationships/hyperlink" Target="https://luatvietnam.vn/noi-dung-tham-chieu.html?DocItemId=53485" TargetMode="External"/><Relationship Id="rId49" Type="http://schemas.openxmlformats.org/officeDocument/2006/relationships/hyperlink" Target="https://luatvietnam.vn/noi-dung-tham-chieu.html?DocItemId=53602" TargetMode="External"/><Relationship Id="rId10" Type="http://schemas.openxmlformats.org/officeDocument/2006/relationships/hyperlink" Target="https://luatvietnam.vn/noi-dung-tham-chieu.html?DocItemId=53310" TargetMode="External"/><Relationship Id="rId19" Type="http://schemas.openxmlformats.org/officeDocument/2006/relationships/hyperlink" Target="https://luatvietnam.vn/noi-dung-tham-chieu.html?DocItemId=53388" TargetMode="External"/><Relationship Id="rId31" Type="http://schemas.openxmlformats.org/officeDocument/2006/relationships/hyperlink" Target="https://luatvietnam.vn/noi-dung-tham-chieu.html?DocItemId=53465" TargetMode="External"/><Relationship Id="rId44" Type="http://schemas.openxmlformats.org/officeDocument/2006/relationships/hyperlink" Target="https://luatvietnam.vn/noi-dung-tham-chieu.html?DocItemId=53545" TargetMode="External"/><Relationship Id="rId52"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uatvietnam.vn/noi-dung-tham-chieu.html?DocItemId=53294" TargetMode="External"/><Relationship Id="rId14" Type="http://schemas.openxmlformats.org/officeDocument/2006/relationships/hyperlink" Target="https://luatvietnam.vn/noi-dung-tham-chieu.html?DocItemId=53320" TargetMode="External"/><Relationship Id="rId22" Type="http://schemas.openxmlformats.org/officeDocument/2006/relationships/hyperlink" Target="https://luatvietnam.vn/noi-dung-tham-chieu.html?DocItemId=53409" TargetMode="External"/><Relationship Id="rId27" Type="http://schemas.openxmlformats.org/officeDocument/2006/relationships/hyperlink" Target="https://luatvietnam.vn/noi-dung-tham-chieu.html?DocItemId=53443" TargetMode="External"/><Relationship Id="rId30" Type="http://schemas.openxmlformats.org/officeDocument/2006/relationships/hyperlink" Target="https://luatvietnam.vn/noi-dung-tham-chieu.html?DocItemId=53463" TargetMode="External"/><Relationship Id="rId35" Type="http://schemas.openxmlformats.org/officeDocument/2006/relationships/hyperlink" Target="https://luatvietnam.vn/noi-dung-tham-chieu.html?DocItemId=53478" TargetMode="External"/><Relationship Id="rId43" Type="http://schemas.openxmlformats.org/officeDocument/2006/relationships/hyperlink" Target="https://luatvietnam.vn/noi-dung-tham-chieu.html?DocItemId=53534" TargetMode="External"/><Relationship Id="rId48" Type="http://schemas.openxmlformats.org/officeDocument/2006/relationships/hyperlink" Target="https://luatvietnam.vn/noi-dung-tham-chieu.html?DocItemId=53589" TargetMode="External"/><Relationship Id="rId8" Type="http://schemas.openxmlformats.org/officeDocument/2006/relationships/hyperlink" Target="https://luatvietnam.vn/noi-dung-tham-chieu.html?DocItemId=53293"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uatvietnam.vn/noi-dung-tham-chieu.html?DocItemId=53317" TargetMode="External"/><Relationship Id="rId17" Type="http://schemas.openxmlformats.org/officeDocument/2006/relationships/hyperlink" Target="https://luatvietnam.vn/noi-dung-tham-chieu.html?DocItemId=53386" TargetMode="External"/><Relationship Id="rId25" Type="http://schemas.openxmlformats.org/officeDocument/2006/relationships/hyperlink" Target="https://luatvietnam.vn/noi-dung-tham-chieu.html?DocItemId=53434" TargetMode="External"/><Relationship Id="rId33" Type="http://schemas.openxmlformats.org/officeDocument/2006/relationships/hyperlink" Target="https://luatvietnam.vn/noi-dung-tham-chieu.html?DocItemId=53462" TargetMode="External"/><Relationship Id="rId38" Type="http://schemas.openxmlformats.org/officeDocument/2006/relationships/hyperlink" Target="https://luatvietnam.vn/noi-dung-tham-chieu.html?DocItemId=53512" TargetMode="External"/><Relationship Id="rId46" Type="http://schemas.openxmlformats.org/officeDocument/2006/relationships/hyperlink" Target="https://luatvietnam.vn/noi-dung-tham-chieu.html?DocItemId=53582" TargetMode="External"/><Relationship Id="rId20" Type="http://schemas.openxmlformats.org/officeDocument/2006/relationships/hyperlink" Target="https://luatvietnam.vn/noi-dung-tham-chieu.html?DocItemId=53400" TargetMode="External"/><Relationship Id="rId41" Type="http://schemas.openxmlformats.org/officeDocument/2006/relationships/hyperlink" Target="https://luatvietnam.vn/noi-dung-tham-chieu.html?DocItemId=53532" TargetMode="External"/><Relationship Id="rId1" Type="http://schemas.openxmlformats.org/officeDocument/2006/relationships/styles" Target="styles.xml"/><Relationship Id="rId6" Type="http://schemas.openxmlformats.org/officeDocument/2006/relationships/hyperlink" Target="https://luatvietnam.vn/noi-dung-tham-chieu.html?DocItemId=53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2024-09-12T09:05:00Z</dcterms:created>
  <dcterms:modified xsi:type="dcterms:W3CDTF">2024-09-12T09:05:00Z</dcterms:modified>
</cp:coreProperties>
</file>